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233" w:rsidRDefault="005C67B5">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4b</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ab/>
        <w:t xml:space="preserve">                                   R1-2</w:t>
      </w:r>
      <w:r>
        <w:rPr>
          <w:rFonts w:ascii="Arial" w:hAnsi="Arial" w:cs="Arial" w:hint="eastAsia"/>
          <w:sz w:val="22"/>
        </w:rPr>
        <w:t>1</w:t>
      </w:r>
      <w:r w:rsidR="009B1E44">
        <w:rPr>
          <w:rFonts w:ascii="Arial" w:hAnsi="Arial" w:cs="Arial"/>
          <w:sz w:val="22"/>
        </w:rPr>
        <w:t>02917</w:t>
      </w:r>
    </w:p>
    <w:p w:rsidR="00C44233" w:rsidRDefault="005C67B5">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sidR="009B1E44">
        <w:rPr>
          <w:rFonts w:ascii="Arial" w:hAnsi="Arial" w:cs="Arial"/>
          <w:sz w:val="22"/>
        </w:rPr>
        <w:t>April 12</w:t>
      </w:r>
      <w:r w:rsidR="009B1E44" w:rsidRPr="009B1E44">
        <w:rPr>
          <w:rFonts w:ascii="Arial" w:hAnsi="Arial" w:cs="Arial"/>
          <w:sz w:val="22"/>
          <w:vertAlign w:val="superscript"/>
        </w:rPr>
        <w:t>th</w:t>
      </w:r>
      <w:r w:rsidR="009B1E44">
        <w:rPr>
          <w:rFonts w:ascii="Arial" w:hAnsi="Arial" w:cs="Arial"/>
          <w:sz w:val="22"/>
        </w:rPr>
        <w:t xml:space="preserve"> ~ 20</w:t>
      </w:r>
      <w:r w:rsidR="009B1E44" w:rsidRPr="009B1E44">
        <w:rPr>
          <w:rFonts w:ascii="Arial" w:hAnsi="Arial" w:cs="Arial"/>
          <w:sz w:val="22"/>
          <w:vertAlign w:val="superscript"/>
        </w:rPr>
        <w:t>th</w:t>
      </w:r>
      <w:r>
        <w:rPr>
          <w:rFonts w:ascii="Arial" w:hAnsi="Arial" w:cs="Arial"/>
          <w:sz w:val="22"/>
        </w:rPr>
        <w:t>, 202</w:t>
      </w:r>
      <w:r>
        <w:rPr>
          <w:rFonts w:ascii="Arial" w:hAnsi="Arial" w:cs="Arial" w:hint="eastAsia"/>
          <w:sz w:val="22"/>
        </w:rPr>
        <w:t>1</w:t>
      </w:r>
    </w:p>
    <w:p w:rsidR="00C44233" w:rsidRDefault="00C44233">
      <w:pPr>
        <w:pStyle w:val="3GPPHeader"/>
        <w:snapToGrid w:val="0"/>
        <w:rPr>
          <w:rFonts w:cs="Arial"/>
          <w:sz w:val="22"/>
        </w:rPr>
      </w:pPr>
    </w:p>
    <w:p w:rsidR="00C44233" w:rsidRDefault="005C67B5">
      <w:pPr>
        <w:pStyle w:val="3GPPHeader"/>
        <w:snapToGrid w:val="0"/>
        <w:rPr>
          <w:rFonts w:cs="Arial"/>
          <w:sz w:val="22"/>
        </w:rPr>
      </w:pPr>
      <w:r>
        <w:rPr>
          <w:rFonts w:cs="Arial"/>
          <w:sz w:val="22"/>
        </w:rPr>
        <w:t>Source:</w:t>
      </w:r>
      <w:r>
        <w:rPr>
          <w:rFonts w:cs="Arial"/>
          <w:sz w:val="22"/>
        </w:rPr>
        <w:tab/>
        <w:t>ZTE</w:t>
      </w:r>
    </w:p>
    <w:p w:rsidR="00C44233" w:rsidRDefault="005C67B5">
      <w:pPr>
        <w:pStyle w:val="3GPPHeader"/>
        <w:snapToGrid w:val="0"/>
        <w:rPr>
          <w:rFonts w:cs="Arial"/>
          <w:sz w:val="22"/>
        </w:rPr>
      </w:pPr>
      <w:r>
        <w:rPr>
          <w:rFonts w:cs="Arial"/>
          <w:sz w:val="22"/>
        </w:rPr>
        <w:t>Title:</w:t>
      </w:r>
      <w:r>
        <w:rPr>
          <w:rFonts w:cs="Arial"/>
          <w:sz w:val="22"/>
        </w:rPr>
        <w:tab/>
      </w:r>
      <w:r w:rsidR="009B1E44" w:rsidRPr="009B1E44">
        <w:rPr>
          <w:rFonts w:cs="Arial"/>
          <w:sz w:val="22"/>
        </w:rPr>
        <w:t>Discussion on the synchronization for IoT-NTN</w:t>
      </w:r>
    </w:p>
    <w:p w:rsidR="00C44233" w:rsidRDefault="005C67B5">
      <w:pPr>
        <w:pStyle w:val="3GPPHeader"/>
        <w:snapToGrid w:val="0"/>
        <w:rPr>
          <w:rFonts w:cs="Arial"/>
          <w:sz w:val="22"/>
        </w:rPr>
      </w:pPr>
      <w:r>
        <w:rPr>
          <w:rFonts w:cs="Arial"/>
          <w:sz w:val="22"/>
        </w:rPr>
        <w:t>Agenda Item:</w:t>
      </w:r>
      <w:r>
        <w:rPr>
          <w:rFonts w:cs="Arial"/>
          <w:sz w:val="22"/>
        </w:rPr>
        <w:tab/>
        <w:t>8.</w:t>
      </w:r>
      <w:r>
        <w:rPr>
          <w:rFonts w:cs="Arial" w:hint="eastAsia"/>
          <w:sz w:val="22"/>
        </w:rPr>
        <w:t>15.2</w:t>
      </w:r>
    </w:p>
    <w:p w:rsidR="00C44233" w:rsidRDefault="005C67B5">
      <w:pPr>
        <w:pBdr>
          <w:bottom w:val="single" w:sz="6" w:space="1" w:color="auto"/>
        </w:pBdr>
        <w:snapToGrid w:val="0"/>
        <w:rPr>
          <w:rFonts w:ascii="Arial" w:hAnsi="Arial"/>
          <w:b/>
        </w:rPr>
      </w:pPr>
      <w:r>
        <w:rPr>
          <w:rFonts w:ascii="Arial" w:hAnsi="Arial"/>
          <w:b/>
        </w:rPr>
        <w:t>Document for:  Discussion</w:t>
      </w:r>
      <w:bookmarkEnd w:id="0"/>
      <w:bookmarkEnd w:id="1"/>
    </w:p>
    <w:p w:rsidR="00C44233" w:rsidRDefault="005C67B5">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C44233" w:rsidRDefault="005C67B5">
      <w:pPr>
        <w:spacing w:afterLines="50" w:after="120" w:line="240" w:lineRule="auto"/>
        <w:ind w:firstLine="420"/>
        <w:rPr>
          <w:rFonts w:ascii="Times New Roman" w:hAnsi="Times New Roman"/>
          <w:i/>
          <w:iCs/>
          <w:sz w:val="20"/>
          <w:szCs w:val="20"/>
          <w:highlight w:val="green"/>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synchronization for IoT-NTN.</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Study potential impact of GNSS Position fix on UE power consumption using battery life methodology in Rel-13 TR 45.820 (Section 5.4) </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FFS: Details of the study</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Discuss whether GNSS measurement window is needed and beneficial for initial access.</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the study of potential impact of GNSS Position fix on UE power consumption consider at least the following parameters</w:t>
      </w:r>
    </w:p>
    <w:p w:rsidR="00C44233" w:rsidRDefault="005C67B5">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GNSS power consumption value</w:t>
      </w:r>
    </w:p>
    <w:p w:rsidR="00C44233" w:rsidRDefault="005C67B5">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GNSS position Time To First Fix</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Study potential impact of NTN SIB carrying the satellite ephemeris on </w:t>
      </w:r>
    </w:p>
    <w:p w:rsidR="00C44233" w:rsidRDefault="005C67B5">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UE power consumption in NB-IoT and eMTC </w:t>
      </w:r>
    </w:p>
    <w:p w:rsidR="00C44233" w:rsidRDefault="005C67B5">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Accuracy of satellite location tracking</w:t>
      </w:r>
    </w:p>
    <w:p w:rsidR="00C44233" w:rsidRDefault="005C67B5">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PRACH congestion</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Study the UE pre-compensation of satellite delay during long UL transmission on (N</w:t>
      </w:r>
      <w:proofErr w:type="gramStart"/>
      <w:r>
        <w:rPr>
          <w:rFonts w:ascii="Times New Roman" w:hAnsi="Times New Roman"/>
          <w:i/>
          <w:iCs/>
          <w:sz w:val="20"/>
          <w:szCs w:val="20"/>
        </w:rPr>
        <w:t>)PUSCH</w:t>
      </w:r>
      <w:proofErr w:type="gramEnd"/>
      <w:r>
        <w:rPr>
          <w:rFonts w:ascii="Times New Roman" w:hAnsi="Times New Roman"/>
          <w:i/>
          <w:iCs/>
          <w:sz w:val="20"/>
          <w:szCs w:val="20"/>
        </w:rPr>
        <w:t xml:space="preserve"> in NB-IoT and eMTC. </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Study the UE pre-compensation of satellite delay and Doppler during long UL transmission on PRACH in NB-IoT and eMTC.</w:t>
      </w:r>
    </w:p>
    <w:p w:rsidR="00C44233" w:rsidRDefault="005C67B5">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44233" w:rsidRDefault="005C67B5">
      <w:pPr>
        <w:spacing w:beforeLines="50" w:before="120" w:afterLines="50" w:after="120" w:line="240" w:lineRule="auto"/>
        <w:ind w:leftChars="200" w:left="440"/>
        <w:jc w:val="both"/>
        <w:rPr>
          <w:i/>
        </w:rPr>
      </w:pPr>
      <w:r>
        <w:rPr>
          <w:rFonts w:ascii="Times New Roman" w:hAnsi="Times New Roman"/>
          <w:i/>
          <w:iCs/>
          <w:sz w:val="20"/>
          <w:szCs w:val="20"/>
        </w:rPr>
        <w:t>Study the UE pre-compensation of satellite Doppler shift during long UL transmission on (N</w:t>
      </w:r>
      <w:proofErr w:type="gramStart"/>
      <w:r>
        <w:rPr>
          <w:rFonts w:ascii="Times New Roman" w:hAnsi="Times New Roman"/>
          <w:i/>
          <w:iCs/>
          <w:sz w:val="20"/>
          <w:szCs w:val="20"/>
        </w:rPr>
        <w:t>)PUSCH</w:t>
      </w:r>
      <w:proofErr w:type="gramEnd"/>
      <w:r>
        <w:rPr>
          <w:rFonts w:ascii="Times New Roman" w:hAnsi="Times New Roman"/>
          <w:i/>
          <w:iCs/>
          <w:sz w:val="20"/>
          <w:szCs w:val="20"/>
        </w:rPr>
        <w:t xml:space="preserve"> in NB-IoT and eMTC.</w:t>
      </w:r>
    </w:p>
    <w:p w:rsidR="00C44233" w:rsidRDefault="005C67B5">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issues for </w:t>
      </w:r>
      <w:r>
        <w:rPr>
          <w:rFonts w:ascii="Times New Roman" w:hAnsi="Times New Roman" w:hint="eastAsia"/>
          <w:sz w:val="20"/>
          <w:szCs w:val="20"/>
        </w:rPr>
        <w:t xml:space="preserve">enhancement on time and frequency synchronization </w:t>
      </w:r>
      <w:r>
        <w:rPr>
          <w:rFonts w:ascii="Times New Roman" w:hAnsi="Times New Roman"/>
          <w:sz w:val="20"/>
          <w:szCs w:val="20"/>
        </w:rPr>
        <w:t>are elaborated with corresponding analysis.</w:t>
      </w:r>
    </w:p>
    <w:p w:rsidR="00C44233" w:rsidRDefault="005C67B5">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DL synchronization</w:t>
      </w:r>
    </w:p>
    <w:p w:rsidR="00EE1302" w:rsidRDefault="00EE1302" w:rsidP="00EE1302">
      <w:pPr>
        <w:widowControl w:val="0"/>
        <w:tabs>
          <w:tab w:val="left" w:pos="432"/>
        </w:tabs>
        <w:autoSpaceDE w:val="0"/>
        <w:autoSpaceDN w:val="0"/>
        <w:adjustRightInd w:val="0"/>
        <w:snapToGrid w:val="0"/>
        <w:spacing w:beforeLines="50" w:before="120" w:afterLines="50" w:after="120" w:line="26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DL synchronization in IoT over NTN, the NPSS synchronization performance</w:t>
      </w:r>
      <w:r>
        <w:rPr>
          <w:rFonts w:ascii="Times New Roman" w:eastAsia="宋体" w:hAnsi="Times New Roman" w:cs="Times New Roman"/>
          <w:sz w:val="20"/>
          <w:szCs w:val="20"/>
        </w:rPr>
        <w:t xml:space="preserve"> (including detection rate and frequency offset estimation)</w:t>
      </w:r>
      <w:r>
        <w:rPr>
          <w:rFonts w:ascii="Times New Roman" w:eastAsia="宋体" w:hAnsi="Times New Roman" w:cs="Times New Roman" w:hint="eastAsia"/>
          <w:sz w:val="20"/>
          <w:szCs w:val="20"/>
        </w:rPr>
        <w:t xml:space="preserve"> varies with different </w:t>
      </w:r>
      <w:r>
        <w:rPr>
          <w:rFonts w:ascii="Times New Roman" w:eastAsia="宋体" w:hAnsi="Times New Roman" w:cs="Times New Roman"/>
          <w:sz w:val="20"/>
          <w:szCs w:val="20"/>
        </w:rPr>
        <w:t>assumptions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As one example, according to the </w:t>
      </w:r>
      <w:r>
        <w:rPr>
          <w:rFonts w:ascii="Times New Roman" w:eastAsia="宋体" w:hAnsi="Times New Roman" w:cs="Times New Roman" w:hint="eastAsia"/>
          <w:sz w:val="20"/>
          <w:szCs w:val="20"/>
        </w:rPr>
        <w:t xml:space="preserve">link budget in [2], it can be </w:t>
      </w:r>
      <w:r>
        <w:rPr>
          <w:rFonts w:ascii="Times New Roman" w:eastAsia="宋体" w:hAnsi="Times New Roman" w:cs="Times New Roman"/>
          <w:sz w:val="20"/>
          <w:szCs w:val="20"/>
        </w:rPr>
        <w:t xml:space="preserve">observed that by assuming the channel with limited fading margin (e.g., 3dB), </w:t>
      </w:r>
      <w:r>
        <w:rPr>
          <w:rFonts w:ascii="Times New Roman" w:eastAsia="宋体" w:hAnsi="Times New Roman" w:cs="Times New Roman" w:hint="eastAsia"/>
          <w:sz w:val="20"/>
          <w:szCs w:val="20"/>
        </w:rPr>
        <w:t>the CNR</w:t>
      </w:r>
      <w:r>
        <w:rPr>
          <w:rFonts w:ascii="Times New Roman" w:eastAsia="宋体" w:hAnsi="Times New Roman" w:cs="Times New Roman"/>
          <w:sz w:val="20"/>
          <w:szCs w:val="20"/>
        </w:rPr>
        <w:t>/CINR</w:t>
      </w:r>
      <w:r>
        <w:rPr>
          <w:rFonts w:ascii="Times New Roman" w:eastAsia="宋体" w:hAnsi="Times New Roman" w:cs="Times New Roman" w:hint="eastAsia"/>
          <w:sz w:val="20"/>
          <w:szCs w:val="20"/>
        </w:rPr>
        <w:t xml:space="preserve"> of link budget for Set-1, Set-2, Set-3 and Set-4 are </w:t>
      </w:r>
      <w:r>
        <w:rPr>
          <w:rFonts w:ascii="Times New Roman" w:eastAsia="宋体" w:hAnsi="Times New Roman" w:cs="Times New Roman"/>
          <w:sz w:val="20"/>
          <w:szCs w:val="20"/>
        </w:rPr>
        <w:t xml:space="preserve">better than the </w:t>
      </w:r>
      <w:r>
        <w:rPr>
          <w:rFonts w:ascii="Times New Roman" w:eastAsia="宋体" w:hAnsi="Times New Roman" w:cs="Times New Roman" w:hint="eastAsia"/>
          <w:sz w:val="20"/>
          <w:szCs w:val="20"/>
        </w:rPr>
        <w:t>minimum requir</w:t>
      </w:r>
      <w:r>
        <w:rPr>
          <w:rFonts w:ascii="Times New Roman" w:eastAsia="宋体" w:hAnsi="Times New Roman" w:cs="Times New Roman"/>
          <w:sz w:val="20"/>
          <w:szCs w:val="20"/>
        </w:rPr>
        <w:t>ed</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SINR (i.e.,</w:t>
      </w:r>
      <w:r>
        <w:rPr>
          <w:rFonts w:ascii="Times New Roman" w:eastAsia="宋体" w:hAnsi="Times New Roman" w:cs="Times New Roman" w:hint="eastAsia"/>
          <w:sz w:val="20"/>
          <w:szCs w:val="20"/>
        </w:rPr>
        <w:t xml:space="preserve"> -12.6 dB</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for NPSS synchronization in TN networks, except for </w:t>
      </w:r>
      <w:r>
        <w:rPr>
          <w:rFonts w:ascii="Times New Roman" w:eastAsia="宋体" w:hAnsi="Times New Roman" w:cs="Times New Roman"/>
          <w:sz w:val="20"/>
          <w:szCs w:val="20"/>
        </w:rPr>
        <w:t xml:space="preserve">the case with </w:t>
      </w:r>
      <w:r>
        <w:rPr>
          <w:rFonts w:ascii="Times New Roman" w:eastAsia="宋体" w:hAnsi="Times New Roman" w:cs="Times New Roman" w:hint="eastAsia"/>
          <w:sz w:val="20"/>
          <w:szCs w:val="20"/>
        </w:rPr>
        <w:t xml:space="preserve">Set-4 satellite parameters </w:t>
      </w:r>
      <w:r>
        <w:rPr>
          <w:rFonts w:ascii="Times New Roman" w:eastAsia="宋体" w:hAnsi="Times New Roman" w:cs="Times New Roman"/>
          <w:sz w:val="20"/>
          <w:szCs w:val="20"/>
        </w:rPr>
        <w:t xml:space="preserve">and </w:t>
      </w:r>
      <w:r>
        <w:rPr>
          <w:rFonts w:ascii="Times New Roman" w:eastAsia="宋体" w:hAnsi="Times New Roman" w:cs="Times New Roman" w:hint="eastAsia"/>
          <w:sz w:val="20"/>
          <w:szCs w:val="20"/>
        </w:rPr>
        <w:t xml:space="preserve">UE noise figure </w:t>
      </w:r>
      <w:r>
        <w:rPr>
          <w:rFonts w:ascii="Times New Roman" w:eastAsia="宋体" w:hAnsi="Times New Roman" w:cs="Times New Roman"/>
          <w:sz w:val="20"/>
          <w:szCs w:val="20"/>
        </w:rPr>
        <w:t>as</w:t>
      </w:r>
      <w:r>
        <w:rPr>
          <w:rFonts w:ascii="Times New Roman" w:eastAsia="宋体" w:hAnsi="Times New Roman" w:cs="Times New Roman" w:hint="eastAsia"/>
          <w:sz w:val="20"/>
          <w:szCs w:val="20"/>
        </w:rPr>
        <w:t xml:space="preserve"> 9 dB. </w:t>
      </w:r>
      <w:r>
        <w:rPr>
          <w:rFonts w:ascii="Times New Roman" w:eastAsia="宋体" w:hAnsi="Times New Roman" w:cs="Times New Roman"/>
          <w:sz w:val="20"/>
          <w:szCs w:val="20"/>
        </w:rPr>
        <w:lastRenderedPageBreak/>
        <w:t xml:space="preserve">In these case, with further consideration on the large Doppler shift and variation, </w:t>
      </w:r>
      <w:r>
        <w:rPr>
          <w:rFonts w:ascii="Times New Roman" w:eastAsia="宋体" w:hAnsi="Times New Roman" w:cs="Times New Roman" w:hint="eastAsia"/>
          <w:sz w:val="20"/>
          <w:szCs w:val="20"/>
        </w:rPr>
        <w:t xml:space="preserve">the NPSS synchronization may be not guaranteed. </w:t>
      </w:r>
      <w:r>
        <w:rPr>
          <w:rFonts w:ascii="Times New Roman" w:eastAsia="宋体" w:hAnsi="Times New Roman" w:cs="Times New Roman"/>
          <w:sz w:val="20"/>
          <w:szCs w:val="20"/>
        </w:rPr>
        <w:t>For example, a</w:t>
      </w:r>
      <w:r>
        <w:rPr>
          <w:rFonts w:ascii="Times New Roman" w:eastAsia="宋体" w:hAnsi="Times New Roman" w:cs="Times New Roman" w:hint="eastAsia"/>
          <w:sz w:val="20"/>
          <w:szCs w:val="20"/>
        </w:rPr>
        <w:t xml:space="preserve">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w:instrText>
      </w:r>
      <w:r>
        <w:rPr>
          <w:rFonts w:ascii="Times New Roman" w:eastAsia="宋体" w:hAnsi="Times New Roman" w:cs="Times New Roman" w:hint="eastAsia"/>
          <w:sz w:val="20"/>
          <w:szCs w:val="20"/>
        </w:rPr>
        <w:instrText>REF _Ref67933633 \h</w:instrText>
      </w:r>
      <w:r>
        <w:rPr>
          <w:rFonts w:ascii="Times New Roman" w:eastAsia="宋体" w:hAnsi="Times New Roman" w:cs="Times New Roman"/>
          <w:sz w:val="20"/>
          <w:szCs w:val="20"/>
        </w:rPr>
        <w:instrText xml:space="preserve"> </w:instrText>
      </w:r>
      <w:r w:rsidR="00D7012E">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D7012E">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sidR="00D455D2">
        <w:rPr>
          <w:rFonts w:ascii="Times New Roman" w:eastAsia="宋体" w:hAnsi="Times New Roman" w:cs="Times New Roman"/>
          <w:sz w:val="20"/>
          <w:szCs w:val="20"/>
        </w:rPr>
        <w:t xml:space="preserve"> with 2Tx at satellite side</w:t>
      </w:r>
      <w:r>
        <w:rPr>
          <w:rFonts w:ascii="Times New Roman" w:eastAsia="宋体" w:hAnsi="Times New Roman" w:cs="Times New Roman" w:hint="eastAsia"/>
          <w:sz w:val="20"/>
          <w:szCs w:val="20"/>
        </w:rPr>
        <w:t xml:space="preserve">, it can be observed that </w:t>
      </w:r>
      <w:r>
        <w:rPr>
          <w:rFonts w:ascii="Times New Roman" w:eastAsia="宋体" w:hAnsi="Times New Roman" w:cs="Times New Roman"/>
          <w:sz w:val="20"/>
          <w:szCs w:val="20"/>
        </w:rPr>
        <w:t>the PSS can be detected within certain latency region</w:t>
      </w:r>
      <w:r w:rsidR="00F21BF9">
        <w:rPr>
          <w:rFonts w:ascii="Times New Roman" w:eastAsia="宋体" w:hAnsi="Times New Roman" w:cs="Times New Roman" w:hint="eastAsia"/>
          <w:sz w:val="20"/>
          <w:szCs w:val="20"/>
        </w:rPr>
        <w:t>,</w:t>
      </w:r>
      <w:r w:rsidR="00F21BF9">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e.g., detected within 665 ms </w:t>
      </w:r>
      <w:r>
        <w:rPr>
          <w:rFonts w:ascii="Times New Roman" w:eastAsia="宋体" w:hAnsi="Times New Roman" w:cs="Times New Roman"/>
          <w:sz w:val="20"/>
          <w:szCs w:val="20"/>
        </w:rPr>
        <w:t>for 95%</w:t>
      </w:r>
      <w:r w:rsidR="00C2555A">
        <w:rPr>
          <w:rFonts w:ascii="Times New Roman" w:eastAsia="宋体" w:hAnsi="Times New Roman" w:cs="Times New Roman"/>
          <w:sz w:val="20"/>
          <w:szCs w:val="20"/>
        </w:rPr>
        <w:t xml:space="preserve">, which is worse than the legacy system and further degraded for 1Tx1Rx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_Ref67933820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5E7DB6">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sidR="004252B8">
        <w:rPr>
          <w:rFonts w:ascii="Times New Roman" w:eastAsia="宋体" w:hAnsi="Times New Roman" w:cs="Times New Roman"/>
          <w:sz w:val="20"/>
          <w:szCs w:val="20"/>
        </w:rPr>
        <w:t xml:space="preserve"> along with other metrics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Therefore, the performance evaluation on DL initial synchronization should be further </w:t>
      </w:r>
      <w:r>
        <w:rPr>
          <w:rFonts w:ascii="Times New Roman" w:eastAsia="宋体" w:hAnsi="Times New Roman" w:cs="Times New Roman"/>
          <w:sz w:val="20"/>
          <w:szCs w:val="20"/>
        </w:rPr>
        <w:t>conducted for some realistic application scenarios.</w:t>
      </w:r>
    </w:p>
    <w:p w:rsidR="00EE1302" w:rsidRDefault="00EE1302" w:rsidP="00EE1302">
      <w:pPr>
        <w:keepNext/>
        <w:widowControl w:val="0"/>
        <w:tabs>
          <w:tab w:val="left" w:pos="432"/>
        </w:tabs>
        <w:autoSpaceDE w:val="0"/>
        <w:autoSpaceDN w:val="0"/>
        <w:adjustRightInd w:val="0"/>
        <w:snapToGrid w:val="0"/>
        <w:spacing w:beforeLines="50" w:before="120" w:afterLines="50" w:after="120" w:line="260" w:lineRule="auto"/>
        <w:ind w:leftChars="200" w:left="440"/>
        <w:jc w:val="center"/>
      </w:pPr>
      <w:r>
        <w:rPr>
          <w:rFonts w:ascii="Times New Roman" w:eastAsia="宋体" w:hAnsi="Times New Roman" w:cs="Times New Roman" w:hint="eastAsia"/>
          <w:noProof/>
          <w:sz w:val="20"/>
          <w:szCs w:val="20"/>
        </w:rPr>
        <w:drawing>
          <wp:inline distT="0" distB="0" distL="114300" distR="114300" wp14:anchorId="584612F8" wp14:editId="13529534">
            <wp:extent cx="3587115" cy="2595245"/>
            <wp:effectExtent l="0" t="0" r="9525" b="10795"/>
            <wp:docPr id="6" name="图片 6" descr="NPSSsynchronization0329V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NPSSsynchronization0329V222"/>
                    <pic:cNvPicPr>
                      <a:picLocks noChangeAspect="1"/>
                    </pic:cNvPicPr>
                  </pic:nvPicPr>
                  <pic:blipFill>
                    <a:blip r:embed="rId7"/>
                    <a:stretch>
                      <a:fillRect/>
                    </a:stretch>
                  </pic:blipFill>
                  <pic:spPr>
                    <a:xfrm>
                      <a:off x="0" y="0"/>
                      <a:ext cx="3587115" cy="2595245"/>
                    </a:xfrm>
                    <a:prstGeom prst="rect">
                      <a:avLst/>
                    </a:prstGeom>
                  </pic:spPr>
                </pic:pic>
              </a:graphicData>
            </a:graphic>
          </wp:inline>
        </w:drawing>
      </w:r>
    </w:p>
    <w:p w:rsidR="00EE1302" w:rsidRDefault="00EE1302" w:rsidP="00EE1302">
      <w:pPr>
        <w:pStyle w:val="a3"/>
      </w:pPr>
      <w:bookmarkStart w:id="3" w:name="_Ref67933633"/>
      <w:r>
        <w:rPr>
          <w:b w:val="0"/>
        </w:rPr>
        <w:t xml:space="preserve">Figure </w:t>
      </w:r>
      <w:r>
        <w:rPr>
          <w:b w:val="0"/>
        </w:rPr>
        <w:fldChar w:fldCharType="begin"/>
      </w:r>
      <w:r>
        <w:rPr>
          <w:b w:val="0"/>
        </w:rPr>
        <w:instrText xml:space="preserve"> SEQ Figure \* ARABIC </w:instrText>
      </w:r>
      <w:r>
        <w:rPr>
          <w:b w:val="0"/>
        </w:rPr>
        <w:fldChar w:fldCharType="separate"/>
      </w:r>
      <w:r>
        <w:rPr>
          <w:b w:val="0"/>
          <w:noProof/>
        </w:rPr>
        <w:t>1</w:t>
      </w:r>
      <w:r>
        <w:rPr>
          <w:b w:val="0"/>
        </w:rPr>
        <w:fldChar w:fldCharType="end"/>
      </w:r>
      <w:bookmarkEnd w:id="3"/>
      <w:r>
        <w:rPr>
          <w:b w:val="0"/>
        </w:rPr>
        <w:t xml:space="preserve"> </w:t>
      </w:r>
      <w:r>
        <w:rPr>
          <w:b w:val="0"/>
          <w:lang w:val="en-US"/>
        </w:rPr>
        <w:t>NPSS synchronization performance for In-Band mode, SNR=-13.95 dB, CFO=</w:t>
      </w:r>
      <w:r>
        <w:rPr>
          <w:rFonts w:hint="eastAsia"/>
          <w:b w:val="0"/>
          <w:lang w:val="en-US"/>
        </w:rPr>
        <w:t>±</w:t>
      </w:r>
      <w:r>
        <w:rPr>
          <w:b w:val="0"/>
          <w:lang w:val="en-US"/>
        </w:rPr>
        <w:t>47.5kHz</w:t>
      </w:r>
    </w:p>
    <w:p w:rsidR="00EE1302" w:rsidRDefault="00EE1302" w:rsidP="00EE1302">
      <w:pPr>
        <w:pStyle w:val="a3"/>
        <w:keepNext/>
      </w:pPr>
      <w:bookmarkStart w:id="4" w:name="_Ref67933820"/>
      <w:r>
        <w:rPr>
          <w:b w:val="0"/>
        </w:rPr>
        <w:t xml:space="preserve">Table </w:t>
      </w:r>
      <w:r>
        <w:rPr>
          <w:b w:val="0"/>
        </w:rPr>
        <w:fldChar w:fldCharType="begin"/>
      </w:r>
      <w:r>
        <w:rPr>
          <w:b w:val="0"/>
        </w:rPr>
        <w:instrText xml:space="preserve"> SEQ Table \* ARABIC </w:instrText>
      </w:r>
      <w:r>
        <w:rPr>
          <w:b w:val="0"/>
        </w:rPr>
        <w:fldChar w:fldCharType="separate"/>
      </w:r>
      <w:r>
        <w:rPr>
          <w:b w:val="0"/>
          <w:noProof/>
        </w:rPr>
        <w:t>1</w:t>
      </w:r>
      <w:r>
        <w:rPr>
          <w:b w:val="0"/>
        </w:rPr>
        <w:fldChar w:fldCharType="end"/>
      </w:r>
      <w:bookmarkEnd w:id="4"/>
      <w:r>
        <w:rPr>
          <w:b w:val="0"/>
        </w:rPr>
        <w:t xml:space="preserve"> </w:t>
      </w:r>
      <w:r>
        <w:rPr>
          <w:b w:val="0"/>
          <w:lang w:val="en-US"/>
        </w:rPr>
        <w:t>NPSS synchronization performance with SNR=-13.95 dB</w:t>
      </w:r>
    </w:p>
    <w:tbl>
      <w:tblPr>
        <w:tblStyle w:val="aa"/>
        <w:tblW w:w="8287" w:type="dxa"/>
        <w:jc w:val="center"/>
        <w:tblLayout w:type="fixed"/>
        <w:tblLook w:val="04A0" w:firstRow="1" w:lastRow="0" w:firstColumn="1" w:lastColumn="0" w:noHBand="0" w:noVBand="1"/>
      </w:tblPr>
      <w:tblGrid>
        <w:gridCol w:w="3270"/>
        <w:gridCol w:w="2509"/>
        <w:gridCol w:w="2508"/>
      </w:tblGrid>
      <w:tr w:rsidR="00EE1302" w:rsidTr="00764543">
        <w:trPr>
          <w:jc w:val="center"/>
        </w:trPr>
        <w:tc>
          <w:tcPr>
            <w:tcW w:w="3270"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Performance Metrics</w:t>
            </w:r>
          </w:p>
        </w:tc>
        <w:tc>
          <w:tcPr>
            <w:tcW w:w="2509"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left"/>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In-Band Mode, 1T1R</w:t>
            </w:r>
          </w:p>
        </w:tc>
        <w:tc>
          <w:tcPr>
            <w:tcW w:w="2508"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left"/>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In-Band Mode, 2T1R</w:t>
            </w:r>
          </w:p>
        </w:tc>
      </w:tr>
      <w:tr w:rsidR="00EE1302" w:rsidTr="00764543">
        <w:trPr>
          <w:jc w:val="center"/>
        </w:trPr>
        <w:tc>
          <w:tcPr>
            <w:tcW w:w="3270"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Detection probability</w:t>
            </w:r>
          </w:p>
        </w:tc>
        <w:tc>
          <w:tcPr>
            <w:tcW w:w="2509"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64.84%</w:t>
            </w:r>
          </w:p>
        </w:tc>
        <w:tc>
          <w:tcPr>
            <w:tcW w:w="2508"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91.41%</w:t>
            </w:r>
          </w:p>
        </w:tc>
      </w:tr>
      <w:tr w:rsidR="00EE1302" w:rsidTr="00764543">
        <w:trPr>
          <w:jc w:val="center"/>
        </w:trPr>
        <w:tc>
          <w:tcPr>
            <w:tcW w:w="3270"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Synchronization Latency (50%)</w:t>
            </w:r>
          </w:p>
        </w:tc>
        <w:tc>
          <w:tcPr>
            <w:tcW w:w="2509"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620 ms</w:t>
            </w:r>
          </w:p>
        </w:tc>
        <w:tc>
          <w:tcPr>
            <w:tcW w:w="2508"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240 ms</w:t>
            </w:r>
          </w:p>
        </w:tc>
      </w:tr>
      <w:tr w:rsidR="00EE1302" w:rsidTr="00764543">
        <w:trPr>
          <w:jc w:val="center"/>
        </w:trPr>
        <w:tc>
          <w:tcPr>
            <w:tcW w:w="3270"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Synchronization Latency (90%)</w:t>
            </w:r>
          </w:p>
        </w:tc>
        <w:tc>
          <w:tcPr>
            <w:tcW w:w="2509"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1540 ms</w:t>
            </w:r>
          </w:p>
        </w:tc>
        <w:tc>
          <w:tcPr>
            <w:tcW w:w="2508"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520 ms</w:t>
            </w:r>
          </w:p>
        </w:tc>
      </w:tr>
      <w:tr w:rsidR="00EE1302" w:rsidTr="00764543">
        <w:trPr>
          <w:jc w:val="center"/>
        </w:trPr>
        <w:tc>
          <w:tcPr>
            <w:tcW w:w="3270"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Synchronization Latency (95%)</w:t>
            </w:r>
          </w:p>
        </w:tc>
        <w:tc>
          <w:tcPr>
            <w:tcW w:w="2509"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1700 ms</w:t>
            </w:r>
          </w:p>
        </w:tc>
        <w:tc>
          <w:tcPr>
            <w:tcW w:w="2508"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665 ms</w:t>
            </w:r>
          </w:p>
        </w:tc>
      </w:tr>
      <w:tr w:rsidR="00EE1302" w:rsidTr="00764543">
        <w:trPr>
          <w:jc w:val="center"/>
        </w:trPr>
        <w:tc>
          <w:tcPr>
            <w:tcW w:w="3270"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Residual frequency offset (95%)</w:t>
            </w:r>
          </w:p>
        </w:tc>
        <w:tc>
          <w:tcPr>
            <w:tcW w:w="2509"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-540Hz~540Hz</w:t>
            </w:r>
          </w:p>
        </w:tc>
        <w:tc>
          <w:tcPr>
            <w:tcW w:w="2508" w:type="dxa"/>
          </w:tcPr>
          <w:p w:rsidR="00EE1302" w:rsidRDefault="00EE1302" w:rsidP="0076454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hint="eastAsia"/>
                <w:sz w:val="20"/>
                <w:szCs w:val="20"/>
                <w:lang w:val="en-US"/>
              </w:rPr>
              <w:t>-380Hz~380Hz</w:t>
            </w:r>
          </w:p>
        </w:tc>
      </w:tr>
    </w:tbl>
    <w:p w:rsidR="00EE1302" w:rsidRDefault="00EE1302" w:rsidP="00EE1302">
      <w:pPr>
        <w:spacing w:beforeLines="50" w:before="120" w:line="260" w:lineRule="auto"/>
        <w:ind w:leftChars="200" w:left="440"/>
        <w:jc w:val="both"/>
        <w:rPr>
          <w:rFonts w:ascii="Times New Roman" w:eastAsia="宋体" w:hAnsi="Times New Roman" w:cs="Times New Roman"/>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 xml:space="preserve">: </w:t>
      </w:r>
      <w:r>
        <w:rPr>
          <w:rFonts w:ascii="Times New Roman" w:hAnsi="Times New Roman" w:cs="Times New Roman" w:hint="eastAsia"/>
          <w:bCs/>
          <w:i/>
          <w:sz w:val="20"/>
          <w:szCs w:val="20"/>
        </w:rPr>
        <w:t>DL synchronization performance should be evaluated for target scenarios.</w:t>
      </w:r>
    </w:p>
    <w:p w:rsidR="00EE1302" w:rsidRDefault="00EE1302" w:rsidP="00EE1302">
      <w:pPr>
        <w:widowControl w:val="0"/>
        <w:autoSpaceDE w:val="0"/>
        <w:autoSpaceDN w:val="0"/>
        <w:adjustRightInd w:val="0"/>
        <w:snapToGrid w:val="0"/>
        <w:spacing w:beforeLines="50" w:before="120" w:afterLines="50" w:after="120" w:line="26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Meanwhile, </w:t>
      </w:r>
      <w:r>
        <w:rPr>
          <w:rFonts w:ascii="Times New Roman" w:eastAsia="宋体" w:hAnsi="Times New Roman" w:cs="Times New Roman"/>
          <w:sz w:val="20"/>
          <w:szCs w:val="20"/>
        </w:rPr>
        <w:t>i</w:t>
      </w:r>
      <w:r>
        <w:rPr>
          <w:rFonts w:ascii="Times New Roman" w:eastAsia="宋体" w:hAnsi="Times New Roman" w:cs="Times New Roman" w:hint="eastAsia"/>
          <w:sz w:val="20"/>
          <w:szCs w:val="20"/>
        </w:rPr>
        <w:t xml:space="preserve">n case of IoT over NTN service in S-band (e.g., at 2 GHz) with UE oscillator error as 20 ppm (NB-IoT UE) and the residual Doppler as 16.14 ppm (e.g., LEO-600, 1000 km beam diameter for nadir beam), the maximum FO could be up to (20 + 16.14)*2 = 72.28 kHz, which is much larger than half of the current channel raster, i.e., 100 kHz. </w:t>
      </w:r>
    </w:p>
    <w:p w:rsidR="00EE1302" w:rsidRDefault="00EE1302" w:rsidP="00EE1302">
      <w:pPr>
        <w:widowControl w:val="0"/>
        <w:autoSpaceDE w:val="0"/>
        <w:autoSpaceDN w:val="0"/>
        <w:adjustRightInd w:val="0"/>
        <w:snapToGrid w:val="0"/>
        <w:spacing w:beforeLines="50" w:before="120" w:afterLines="50" w:after="120" w:line="26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Then, w</w:t>
      </w:r>
      <w:r>
        <w:rPr>
          <w:rFonts w:ascii="Times New Roman" w:eastAsia="宋体" w:hAnsi="Times New Roman" w:cs="Times New Roman" w:hint="eastAsia"/>
          <w:sz w:val="20"/>
          <w:szCs w:val="20"/>
        </w:rPr>
        <w:t>hen multiple cells from different satellites cover the same area, the UE cannot identify the correct DL frequency for target satellite. Therefore, a larger sync raster e.g., 200 kHz</w:t>
      </w:r>
      <w:r>
        <w:rPr>
          <w:rFonts w:ascii="Times New Roman" w:eastAsia="宋体" w:hAnsi="Times New Roman" w:cs="Times New Roman"/>
          <w:sz w:val="20"/>
          <w:szCs w:val="20"/>
        </w:rPr>
        <w:t>, s</w:t>
      </w:r>
      <w:r>
        <w:rPr>
          <w:rFonts w:ascii="Times New Roman" w:eastAsia="宋体" w:hAnsi="Times New Roman" w:cs="Times New Roman" w:hint="eastAsia"/>
          <w:sz w:val="20"/>
          <w:szCs w:val="20"/>
        </w:rPr>
        <w:t>hould be defined for LEO.</w:t>
      </w:r>
    </w:p>
    <w:p w:rsidR="00EE1302" w:rsidRDefault="00EE1302" w:rsidP="00EE1302">
      <w:pPr>
        <w:ind w:leftChars="200" w:left="440"/>
        <w:jc w:val="both"/>
        <w:rPr>
          <w:rFonts w:ascii="Times New Roman" w:eastAsia="宋体" w:hAnsi="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eastAsia="宋体" w:hAnsi="Times New Roman" w:hint="eastAsia"/>
          <w:i/>
          <w:sz w:val="20"/>
          <w:szCs w:val="20"/>
        </w:rPr>
        <w:t>100 kHz channel raster may not be large enough to avoid ambiguity in DL synchronization of IoT over NTN when multiple cells from different satellites could cover same UE.</w:t>
      </w:r>
    </w:p>
    <w:p w:rsidR="00EE1302" w:rsidRDefault="00EE1302" w:rsidP="00EE1302">
      <w:pPr>
        <w:ind w:leftChars="200" w:left="440"/>
        <w:jc w:val="both"/>
      </w:pPr>
      <w:r>
        <w:rPr>
          <w:rFonts w:ascii="Times New Roman" w:hAnsi="Times New Roman" w:cs="Times New Roman" w:hint="eastAsia"/>
          <w:b/>
          <w:i/>
          <w:sz w:val="20"/>
          <w:szCs w:val="20"/>
        </w:rPr>
        <w:t>Proposal 2</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Channel raster should be enhanced in IoT over NTN </w:t>
      </w:r>
      <w:r>
        <w:rPr>
          <w:rFonts w:ascii="Times New Roman" w:eastAsia="宋体" w:hAnsi="Times New Roman"/>
          <w:i/>
          <w:sz w:val="20"/>
          <w:szCs w:val="20"/>
        </w:rPr>
        <w:t xml:space="preserve">if the scenarios with co-covered </w:t>
      </w:r>
      <w:r>
        <w:rPr>
          <w:rFonts w:ascii="Times New Roman" w:eastAsia="宋体" w:hAnsi="Times New Roman" w:hint="eastAsia"/>
          <w:i/>
          <w:sz w:val="20"/>
          <w:szCs w:val="20"/>
        </w:rPr>
        <w:t xml:space="preserve">cells from different </w:t>
      </w:r>
      <w:r>
        <w:rPr>
          <w:rFonts w:ascii="Times New Roman" w:eastAsia="宋体" w:hAnsi="Times New Roman"/>
          <w:i/>
          <w:sz w:val="20"/>
          <w:szCs w:val="20"/>
        </w:rPr>
        <w:t xml:space="preserve">LEO </w:t>
      </w:r>
      <w:r>
        <w:rPr>
          <w:rFonts w:ascii="Times New Roman" w:eastAsia="宋体" w:hAnsi="Times New Roman" w:hint="eastAsia"/>
          <w:i/>
          <w:sz w:val="20"/>
          <w:szCs w:val="20"/>
        </w:rPr>
        <w:t>satellites</w:t>
      </w:r>
      <w:r>
        <w:rPr>
          <w:rFonts w:ascii="Times New Roman" w:eastAsia="宋体" w:hAnsi="Times New Roman"/>
          <w:i/>
          <w:sz w:val="20"/>
          <w:szCs w:val="20"/>
        </w:rPr>
        <w:t xml:space="preserve"> is supported</w:t>
      </w:r>
      <w:r>
        <w:rPr>
          <w:rFonts w:ascii="Times New Roman" w:eastAsia="宋体" w:hAnsi="Times New Roman" w:hint="eastAsia"/>
          <w:i/>
          <w:sz w:val="20"/>
          <w:szCs w:val="20"/>
        </w:rPr>
        <w:t>.</w:t>
      </w:r>
    </w:p>
    <w:p w:rsidR="00C44233" w:rsidRDefault="005C67B5" w:rsidP="007408A7">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lastRenderedPageBreak/>
        <w:t>UL synchronization</w:t>
      </w:r>
    </w:p>
    <w:p w:rsidR="007408A7" w:rsidRDefault="007408A7" w:rsidP="007408A7">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the pre-compensation</w:t>
      </w:r>
    </w:p>
    <w:p w:rsidR="007408A7" w:rsidRDefault="007408A7" w:rsidP="007408A7">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duration for each UL transmission, e.g., PRACH or PUSCH, </w:t>
      </w:r>
      <w:r w:rsidR="000E50D3">
        <w:rPr>
          <w:rFonts w:ascii="Times New Roman" w:eastAsia="宋体" w:hAnsi="Times New Roman" w:cs="Times New Roman"/>
          <w:sz w:val="20"/>
          <w:szCs w:val="20"/>
        </w:rPr>
        <w:t>will</w:t>
      </w:r>
      <w:r>
        <w:rPr>
          <w:rFonts w:ascii="Times New Roman" w:eastAsia="宋体" w:hAnsi="Times New Roman" w:cs="Times New Roman" w:hint="eastAsia"/>
          <w:sz w:val="20"/>
          <w:szCs w:val="20"/>
        </w:rPr>
        <w:t xml:space="preserve"> be long especially with large repetition number. For example, if 3.75 kHz single subcarrier configuration is applied for NPUSCH, the maximum duration can be as long as </w:t>
      </w:r>
      <w:r>
        <w:rPr>
          <w:rFonts w:ascii="Times New Roman" w:eastAsia="宋体" w:hAnsi="Times New Roman" w:cs="Times New Roman" w:hint="eastAsia"/>
          <w:position w:val="-6"/>
          <w:sz w:val="20"/>
          <w:szCs w:val="20"/>
        </w:rPr>
        <w:object w:dxaOrig="1880" w:dyaOrig="240" w14:anchorId="023E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2.05pt" o:ole="">
            <v:imagedata r:id="rId8" o:title=""/>
          </v:shape>
          <o:OLEObject Type="Embed" ProgID="Equation.KSEE3" ShapeID="_x0000_i1025" DrawAspect="Content" ObjectID="_1679241676" r:id="rId9"/>
        </w:object>
      </w:r>
      <w:r>
        <w:rPr>
          <w:rFonts w:ascii="Times New Roman" w:eastAsia="宋体" w:hAnsi="Times New Roman" w:cs="Times New Roman" w:hint="eastAsia"/>
          <w:sz w:val="20"/>
          <w:szCs w:val="20"/>
        </w:rPr>
        <w:t xml:space="preserve"> ms, i.e., 40.96 s. In this case, with consideration on the satellite movement (at least), the accumulated error of TA and Doppler will </w:t>
      </w:r>
      <w:r w:rsidR="00883D0B">
        <w:rPr>
          <w:rFonts w:ascii="Times New Roman" w:eastAsia="宋体" w:hAnsi="Times New Roman" w:cs="Times New Roman"/>
          <w:sz w:val="20"/>
          <w:szCs w:val="20"/>
        </w:rPr>
        <w:t>impact</w:t>
      </w:r>
      <w:r>
        <w:rPr>
          <w:rFonts w:ascii="Times New Roman" w:eastAsia="宋体" w:hAnsi="Times New Roman" w:cs="Times New Roman" w:hint="eastAsia"/>
          <w:sz w:val="20"/>
          <w:szCs w:val="20"/>
        </w:rPr>
        <w:t xml:space="preserve"> the system performance if initial pre-compensation value is kept for whole transmission. Therefore, updates on the pre-compensation value of TA and Doppler during the continuous transmission time interval is expected. Moreover, the long repetition transmission can be divided to multiple segments and the TA/Doppler for each segment can be well estimated and pre-compensated.</w:t>
      </w:r>
    </w:p>
    <w:p w:rsidR="007408A7" w:rsidRDefault="007408A7" w:rsidP="007408A7">
      <w:pPr>
        <w:spacing w:after="0"/>
        <w:ind w:leftChars="200" w:left="440"/>
        <w:jc w:val="both"/>
        <w:rPr>
          <w:rFonts w:ascii="Times New Roman" w:eastAsia="宋体" w:hAnsi="Times New Roman" w:cs="Times New Roman"/>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 xml:space="preserve">: </w:t>
      </w:r>
      <w:r>
        <w:rPr>
          <w:rFonts w:ascii="Times New Roman" w:eastAsia="宋体" w:hAnsi="Times New Roman" w:hint="eastAsia"/>
          <w:i/>
          <w:sz w:val="20"/>
          <w:szCs w:val="20"/>
        </w:rPr>
        <w:t>Performance degradation will occurs for the continuous transmission with larger repetition.</w:t>
      </w:r>
    </w:p>
    <w:p w:rsidR="007408A7" w:rsidRDefault="007408A7" w:rsidP="007408A7">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the discussion of RAN1#104e, two options are proposed for UE pre-compensation of TA:</w:t>
      </w:r>
    </w:p>
    <w:p w:rsidR="007408A7" w:rsidRDefault="007408A7" w:rsidP="007408A7">
      <w:pPr>
        <w:pStyle w:val="ac"/>
        <w:numPr>
          <w:ilvl w:val="0"/>
          <w:numId w:val="7"/>
        </w:numPr>
        <w:adjustRightInd w:val="0"/>
        <w:spacing w:before="156" w:after="156"/>
        <w:ind w:firstLineChars="0"/>
        <w:rPr>
          <w:rFonts w:ascii="Times New Roman" w:eastAsia="宋体" w:hAnsi="Times New Roman" w:cs="Times New Roman"/>
          <w:sz w:val="20"/>
          <w:szCs w:val="20"/>
        </w:rPr>
      </w:pPr>
      <w:r>
        <w:rPr>
          <w:rFonts w:ascii="Times New Roman" w:eastAsia="宋体" w:hAnsi="Times New Roman" w:cs="Times New Roman"/>
          <w:sz w:val="20"/>
          <w:szCs w:val="20"/>
        </w:rPr>
        <w:t>Option 1: Use UE-specific TA calculation based on GNSS-acquired UE position and serving satellite ephemeris.</w:t>
      </w:r>
    </w:p>
    <w:p w:rsidR="007408A7" w:rsidRDefault="007408A7" w:rsidP="007408A7">
      <w:pPr>
        <w:pStyle w:val="ac"/>
        <w:numPr>
          <w:ilvl w:val="0"/>
          <w:numId w:val="7"/>
        </w:numPr>
        <w:adjustRightInd w:val="0"/>
        <w:spacing w:before="156" w:after="156"/>
        <w:ind w:firstLineChars="0"/>
        <w:rPr>
          <w:rFonts w:ascii="Times New Roman" w:eastAsia="宋体" w:hAnsi="Times New Roman" w:cs="Times New Roman"/>
          <w:sz w:val="20"/>
          <w:szCs w:val="20"/>
        </w:rPr>
      </w:pPr>
      <w:r>
        <w:rPr>
          <w:rFonts w:ascii="Times New Roman" w:eastAsia="宋体" w:hAnsi="Times New Roman" w:cs="Times New Roman"/>
          <w:sz w:val="20"/>
          <w:szCs w:val="20"/>
        </w:rPr>
        <w:t xml:space="preserve">Option 2: Use UE-specific TA calculation based on the timing drift rate. </w:t>
      </w:r>
    </w:p>
    <w:p w:rsidR="007408A7" w:rsidRDefault="007408A7" w:rsidP="007408A7">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Above options can update the TA value during transmission, which </w:t>
      </w:r>
      <w:r w:rsidR="003A5A4D">
        <w:rPr>
          <w:rFonts w:ascii="Times New Roman" w:eastAsia="宋体" w:hAnsi="Times New Roman" w:cs="Times New Roman"/>
          <w:sz w:val="20"/>
          <w:szCs w:val="20"/>
        </w:rPr>
        <w:t xml:space="preserve">will </w:t>
      </w:r>
      <w:r>
        <w:rPr>
          <w:rFonts w:ascii="Times New Roman" w:eastAsia="宋体" w:hAnsi="Times New Roman" w:cs="Times New Roman" w:hint="eastAsia"/>
          <w:sz w:val="20"/>
          <w:szCs w:val="20"/>
        </w:rPr>
        <w:t>reduce the accumulated TA error</w:t>
      </w:r>
      <w:r w:rsidR="00D14162">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00D14162">
        <w:rPr>
          <w:rFonts w:ascii="Times New Roman" w:eastAsia="宋体" w:hAnsi="Times New Roman" w:cs="Times New Roman"/>
          <w:sz w:val="20"/>
          <w:szCs w:val="20"/>
        </w:rPr>
        <w:t>B</w:t>
      </w:r>
      <w:r>
        <w:rPr>
          <w:rFonts w:ascii="Times New Roman" w:eastAsia="宋体" w:hAnsi="Times New Roman" w:cs="Times New Roman"/>
          <w:sz w:val="20"/>
          <w:szCs w:val="20"/>
        </w:rPr>
        <w:t xml:space="preserve">oth of them can be used to achieve the </w:t>
      </w:r>
      <w:r>
        <w:rPr>
          <w:rFonts w:ascii="Times New Roman" w:eastAsia="宋体" w:hAnsi="Times New Roman" w:cs="Times New Roman" w:hint="eastAsia"/>
          <w:sz w:val="20"/>
          <w:szCs w:val="20"/>
        </w:rPr>
        <w:t xml:space="preserve">segmented pre-compensation. After dividing long repetition transmission to multiple segments, TA pre-compensation based on </w:t>
      </w:r>
      <w:r>
        <w:rPr>
          <w:rFonts w:ascii="Times New Roman" w:eastAsia="宋体" w:hAnsi="Times New Roman" w:cs="Times New Roman"/>
          <w:sz w:val="20"/>
          <w:szCs w:val="20"/>
        </w:rPr>
        <w:t xml:space="preserve">either </w:t>
      </w:r>
      <w:r>
        <w:rPr>
          <w:rFonts w:ascii="Times New Roman" w:eastAsia="宋体" w:hAnsi="Times New Roman" w:cs="Times New Roman" w:hint="eastAsia"/>
          <w:sz w:val="20"/>
          <w:szCs w:val="20"/>
        </w:rPr>
        <w:t xml:space="preserve">option 1 or 2 can be applied for each segment and finally different segments are combined. </w:t>
      </w:r>
      <w:r w:rsidR="002F45E7">
        <w:rPr>
          <w:rFonts w:ascii="Times New Roman" w:eastAsia="宋体" w:hAnsi="Times New Roman" w:cs="Times New Roman"/>
          <w:sz w:val="20"/>
          <w:szCs w:val="20"/>
        </w:rPr>
        <w:t xml:space="preserve">It means that </w:t>
      </w:r>
      <w:r>
        <w:rPr>
          <w:rFonts w:ascii="Times New Roman" w:eastAsia="宋体" w:hAnsi="Times New Roman" w:cs="Times New Roman" w:hint="eastAsia"/>
          <w:sz w:val="20"/>
          <w:szCs w:val="20"/>
        </w:rPr>
        <w:t>segmented pre-compensation is in different dimension w.r.t option 1 and 2 and they can be applied together. Moreover, since the total duration of one transmission can be as long as 40 s, the satellite ephemeris or timing drift rate are very likely to be updated during transmission</w:t>
      </w:r>
      <w:r>
        <w:rPr>
          <w:rFonts w:ascii="Times New Roman" w:eastAsia="宋体" w:hAnsi="Times New Roman" w:cs="Times New Roman"/>
          <w:sz w:val="20"/>
          <w:szCs w:val="20"/>
        </w:rPr>
        <w:t xml:space="preserve"> gap for long UL to ensure that the accurate TA can be applied </w:t>
      </w:r>
      <w:r>
        <w:rPr>
          <w:rFonts w:ascii="Times New Roman" w:eastAsia="宋体" w:hAnsi="Times New Roman" w:cs="Times New Roman" w:hint="eastAsia"/>
          <w:sz w:val="20"/>
          <w:szCs w:val="20"/>
        </w:rPr>
        <w:t xml:space="preserve">for different parts of repetition, </w:t>
      </w:r>
      <w:r>
        <w:rPr>
          <w:rFonts w:ascii="Times New Roman" w:eastAsia="宋体" w:hAnsi="Times New Roman" w:cs="Times New Roman"/>
          <w:sz w:val="20"/>
          <w:szCs w:val="20"/>
        </w:rPr>
        <w:t xml:space="preserve">i.e., as </w:t>
      </w:r>
      <w:r>
        <w:rPr>
          <w:rFonts w:ascii="Times New Roman" w:eastAsia="宋体" w:hAnsi="Times New Roman" w:cs="Times New Roman" w:hint="eastAsia"/>
          <w:sz w:val="20"/>
          <w:szCs w:val="20"/>
        </w:rPr>
        <w:t>segmented pre-compensation. Therefore, segmented pre-compensation should be applied no matter which option is selected finally.</w:t>
      </w:r>
    </w:p>
    <w:p w:rsidR="007408A7" w:rsidRDefault="007408A7" w:rsidP="007408A7">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For Doppler, similar conclusion can be obtained as for TA, i.e., segmented pre-compensation is necessary no matter which Doppler pre-compensation method is applied.</w:t>
      </w:r>
    </w:p>
    <w:p w:rsidR="007408A7" w:rsidRDefault="007408A7" w:rsidP="007408A7">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eastAsia="宋体" w:hAnsi="Times New Roman" w:hint="eastAsia"/>
          <w:i/>
          <w:sz w:val="20"/>
          <w:szCs w:val="20"/>
        </w:rPr>
        <w:t>Segmented pre-compensation for long continuous repetition transmission should be considered.</w:t>
      </w:r>
    </w:p>
    <w:p w:rsidR="007408A7" w:rsidRDefault="007408A7" w:rsidP="007408A7">
      <w:p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segmented pre-compensation, different segments generally apply different pre-compensation values. Hence, a gap should be inserted between adjacent segments to avoid the overlap of segments caused by different TA pre-compensation. </w:t>
      </w:r>
      <w:r>
        <w:rPr>
          <w:rFonts w:ascii="Times New Roman" w:eastAsia="宋体" w:hAnsi="Times New Roman" w:cs="Times New Roman"/>
          <w:sz w:val="20"/>
          <w:szCs w:val="20"/>
        </w:rPr>
        <w:t>Meanwhile, the gap is also needed to achieve the updates on the information, e.g., satellite PV value</w:t>
      </w:r>
      <w:r w:rsidR="00934DDB">
        <w:rPr>
          <w:rFonts w:ascii="Times New Roman" w:eastAsia="宋体" w:hAnsi="Times New Roman" w:cs="Times New Roman"/>
          <w:sz w:val="20"/>
          <w:szCs w:val="20"/>
        </w:rPr>
        <w:t xml:space="preserve"> or other synchronization related indication</w:t>
      </w:r>
      <w:r w:rsidR="00076968">
        <w:rPr>
          <w:rFonts w:ascii="Times New Roman" w:eastAsia="宋体" w:hAnsi="Times New Roman" w:cs="Times New Roman"/>
          <w:sz w:val="20"/>
          <w:szCs w:val="20"/>
        </w:rPr>
        <w:t>,</w:t>
      </w:r>
      <w:r w:rsidR="00934DDB">
        <w:rPr>
          <w:rFonts w:ascii="Times New Roman" w:eastAsia="宋体" w:hAnsi="Times New Roman" w:cs="Times New Roman"/>
          <w:sz w:val="20"/>
          <w:szCs w:val="20"/>
        </w:rPr>
        <w:t xml:space="preserve"> to ensure the accurate TA/Doppler compensation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And how to set the time length of inserted gap should be further investigated.</w:t>
      </w:r>
    </w:p>
    <w:p w:rsidR="007408A7" w:rsidRDefault="007408A7" w:rsidP="007408A7">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r>
        <w:rPr>
          <w:rFonts w:ascii="Times New Roman" w:eastAsia="宋体" w:hAnsi="Times New Roman" w:hint="eastAsia"/>
          <w:i/>
          <w:sz w:val="20"/>
          <w:szCs w:val="20"/>
        </w:rPr>
        <w:t>The time duration of gap between adjacent segments</w:t>
      </w:r>
      <w:r>
        <w:rPr>
          <w:rFonts w:ascii="Times New Roman" w:eastAsia="宋体" w:hAnsi="Times New Roman"/>
          <w:i/>
          <w:sz w:val="20"/>
          <w:szCs w:val="20"/>
        </w:rPr>
        <w:t xml:space="preserve"> of one UL transmission</w:t>
      </w:r>
      <w:r>
        <w:rPr>
          <w:rFonts w:ascii="Times New Roman" w:eastAsia="宋体" w:hAnsi="Times New Roman" w:hint="eastAsia"/>
          <w:i/>
          <w:sz w:val="20"/>
          <w:szCs w:val="20"/>
        </w:rPr>
        <w:t xml:space="preserve"> should be </w:t>
      </w:r>
      <w:r w:rsidR="00305DE1">
        <w:rPr>
          <w:rFonts w:ascii="Times New Roman" w:eastAsia="宋体" w:hAnsi="Times New Roman"/>
          <w:i/>
          <w:sz w:val="20"/>
          <w:szCs w:val="20"/>
        </w:rPr>
        <w:t>supported</w:t>
      </w:r>
      <w:r>
        <w:rPr>
          <w:rFonts w:ascii="Times New Roman" w:eastAsia="宋体" w:hAnsi="Times New Roman" w:hint="eastAsia"/>
          <w:i/>
          <w:sz w:val="20"/>
          <w:szCs w:val="20"/>
        </w:rPr>
        <w:t>.</w:t>
      </w:r>
    </w:p>
    <w:p w:rsidR="007408A7" w:rsidRDefault="007408A7" w:rsidP="007408A7">
      <w:pPr>
        <w:adjustRightInd w:val="0"/>
        <w:snapToGrid w:val="0"/>
        <w:spacing w:beforeLines="50" w:before="120" w:afterLines="50" w:after="120" w:line="260" w:lineRule="auto"/>
        <w:jc w:val="center"/>
      </w:pPr>
      <w:r>
        <w:rPr>
          <w:noProof/>
        </w:rPr>
        <w:drawing>
          <wp:inline distT="0" distB="0" distL="114300" distR="114300" wp14:anchorId="2F1EAB5F" wp14:editId="46A11A74">
            <wp:extent cx="5776595" cy="1388110"/>
            <wp:effectExtent l="0" t="0" r="14605" b="254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0"/>
                    <a:stretch>
                      <a:fillRect/>
                    </a:stretch>
                  </pic:blipFill>
                  <pic:spPr>
                    <a:xfrm>
                      <a:off x="0" y="0"/>
                      <a:ext cx="5776595" cy="1388110"/>
                    </a:xfrm>
                    <a:prstGeom prst="rect">
                      <a:avLst/>
                    </a:prstGeom>
                    <a:noFill/>
                    <a:ln>
                      <a:noFill/>
                    </a:ln>
                  </pic:spPr>
                </pic:pic>
              </a:graphicData>
            </a:graphic>
          </wp:inline>
        </w:drawing>
      </w:r>
    </w:p>
    <w:p w:rsidR="007408A7" w:rsidRDefault="007408A7" w:rsidP="007408A7">
      <w:pPr>
        <w:pStyle w:val="a3"/>
      </w:pPr>
      <w:bookmarkStart w:id="5" w:name="_Ref10574"/>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noProof/>
          <w:lang w:val="en-US"/>
        </w:rPr>
        <w:t>2</w:t>
      </w:r>
      <w:r>
        <w:rPr>
          <w:b w:val="0"/>
          <w:lang w:val="en-US"/>
        </w:rPr>
        <w:fldChar w:fldCharType="end"/>
      </w:r>
      <w:bookmarkEnd w:id="5"/>
      <w:r>
        <w:rPr>
          <w:b w:val="0"/>
          <w:lang w:val="en-US"/>
        </w:rPr>
        <w:t xml:space="preserve"> </w:t>
      </w:r>
      <w:r>
        <w:rPr>
          <w:rFonts w:hint="eastAsia"/>
          <w:b w:val="0"/>
          <w:lang w:val="en-US"/>
        </w:rPr>
        <w:t>Illustration of transmission gap and valid time range in segmented pre-compensation</w:t>
      </w:r>
    </w:p>
    <w:p w:rsidR="007408A7" w:rsidRPr="005E7DB6" w:rsidRDefault="007408A7" w:rsidP="007408A7">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sidRPr="005E7DB6">
        <w:rPr>
          <w:rFonts w:ascii="Times New Roman" w:eastAsia="宋体" w:hAnsi="Times New Roman" w:cs="Times New Roman" w:hint="eastAsia"/>
          <w:sz w:val="20"/>
          <w:szCs w:val="20"/>
        </w:rPr>
        <w:lastRenderedPageBreak/>
        <w:t xml:space="preserve">For </w:t>
      </w:r>
      <w:r w:rsidR="00112B3E">
        <w:rPr>
          <w:rFonts w:ascii="Times New Roman" w:eastAsia="宋体" w:hAnsi="Times New Roman" w:cs="Times New Roman"/>
          <w:sz w:val="20"/>
          <w:szCs w:val="20"/>
        </w:rPr>
        <w:t xml:space="preserve">the </w:t>
      </w:r>
      <w:r w:rsidRPr="005E7DB6">
        <w:rPr>
          <w:rFonts w:ascii="Times New Roman" w:eastAsia="宋体" w:hAnsi="Times New Roman" w:cs="Times New Roman" w:hint="eastAsia"/>
          <w:sz w:val="20"/>
          <w:szCs w:val="20"/>
        </w:rPr>
        <w:t xml:space="preserve">simplicity of implementation, one unified TA may be applied for pre-compensation in a whole segment or even more than one segments </w:t>
      </w:r>
      <w:r w:rsidRPr="00BA5782">
        <w:rPr>
          <w:rFonts w:ascii="Times New Roman" w:eastAsia="宋体" w:hAnsi="Times New Roman" w:cs="Times New Roman"/>
          <w:sz w:val="20"/>
          <w:szCs w:val="20"/>
        </w:rPr>
        <w:t xml:space="preserve">as </w:t>
      </w:r>
      <w:r w:rsidRPr="00EA6BA5">
        <w:rPr>
          <w:rFonts w:ascii="Times New Roman" w:eastAsia="宋体" w:hAnsi="Times New Roman" w:cs="Times New Roman"/>
          <w:sz w:val="20"/>
          <w:szCs w:val="20"/>
        </w:rPr>
        <w:t xml:space="preserve">shown in </w:t>
      </w:r>
      <w:r w:rsidRPr="00EA6BA5">
        <w:rPr>
          <w:rFonts w:ascii="Times New Roman" w:eastAsia="宋体" w:hAnsi="Times New Roman" w:cs="Times New Roman"/>
          <w:sz w:val="20"/>
          <w:szCs w:val="20"/>
        </w:rPr>
        <w:fldChar w:fldCharType="begin"/>
      </w:r>
      <w:r w:rsidRPr="00EA6BA5">
        <w:rPr>
          <w:rFonts w:ascii="Times New Roman" w:eastAsia="宋体" w:hAnsi="Times New Roman" w:cs="Times New Roman"/>
          <w:sz w:val="20"/>
          <w:szCs w:val="20"/>
        </w:rPr>
        <w:instrText xml:space="preserve"> REF _Ref10574 \h  \* MERGEFORMAT </w:instrText>
      </w:r>
      <w:r w:rsidRPr="00EA6BA5">
        <w:rPr>
          <w:rFonts w:ascii="Times New Roman" w:eastAsia="宋体" w:hAnsi="Times New Roman" w:cs="Times New Roman"/>
          <w:sz w:val="20"/>
          <w:szCs w:val="20"/>
        </w:rPr>
      </w:r>
      <w:r w:rsidRPr="00EA6BA5">
        <w:rPr>
          <w:rFonts w:ascii="Times New Roman" w:eastAsia="宋体" w:hAnsi="Times New Roman" w:cs="Times New Roman"/>
          <w:sz w:val="20"/>
          <w:szCs w:val="20"/>
        </w:rPr>
        <w:fldChar w:fldCharType="separate"/>
      </w:r>
      <w:r w:rsidRPr="00EA6BA5">
        <w:rPr>
          <w:rFonts w:ascii="Times New Roman" w:hAnsi="Times New Roman" w:cs="Times New Roman"/>
          <w:sz w:val="20"/>
          <w:szCs w:val="20"/>
        </w:rPr>
        <w:t xml:space="preserve">Figure </w:t>
      </w:r>
      <w:r w:rsidRPr="00EA6BA5">
        <w:rPr>
          <w:rFonts w:ascii="Times New Roman" w:hAnsi="Times New Roman" w:cs="Times New Roman"/>
          <w:noProof/>
          <w:sz w:val="20"/>
          <w:szCs w:val="20"/>
        </w:rPr>
        <w:t>2</w:t>
      </w:r>
      <w:r w:rsidRPr="00EA6BA5">
        <w:rPr>
          <w:rFonts w:ascii="Times New Roman" w:eastAsia="宋体" w:hAnsi="Times New Roman" w:cs="Times New Roman"/>
          <w:sz w:val="20"/>
          <w:szCs w:val="20"/>
        </w:rPr>
        <w:fldChar w:fldCharType="end"/>
      </w:r>
      <w:r w:rsidRPr="00EA6BA5">
        <w:rPr>
          <w:rFonts w:ascii="Times New Roman" w:eastAsia="宋体" w:hAnsi="Times New Roman" w:cs="Times New Roman"/>
          <w:sz w:val="20"/>
          <w:szCs w:val="20"/>
        </w:rPr>
        <w:t>, w</w:t>
      </w:r>
      <w:r w:rsidRPr="00EA6BA5">
        <w:rPr>
          <w:rFonts w:ascii="Times New Roman" w:eastAsia="宋体" w:hAnsi="Times New Roman" w:cs="Times New Roman" w:hint="eastAsia"/>
          <w:sz w:val="20"/>
          <w:szCs w:val="20"/>
        </w:rPr>
        <w:t>hen</w:t>
      </w:r>
      <w:r w:rsidRPr="005E7DB6">
        <w:rPr>
          <w:rFonts w:ascii="Times New Roman" w:eastAsia="宋体" w:hAnsi="Times New Roman" w:cs="Times New Roman" w:hint="eastAsia"/>
          <w:sz w:val="20"/>
          <w:szCs w:val="20"/>
        </w:rPr>
        <w:t xml:space="preserve"> TA drift rate is not too large or segment length is short enough. In this case, a time range can be configured to UE, which indicates the valid time of </w:t>
      </w:r>
      <w:r w:rsidRPr="005E7DB6">
        <w:rPr>
          <w:rFonts w:ascii="Times New Roman" w:eastAsia="宋体" w:hAnsi="Times New Roman" w:cs="Times New Roman"/>
          <w:sz w:val="20"/>
          <w:szCs w:val="20"/>
        </w:rPr>
        <w:t xml:space="preserve">one </w:t>
      </w:r>
      <w:r w:rsidRPr="005E7DB6">
        <w:rPr>
          <w:rFonts w:ascii="Times New Roman" w:eastAsia="宋体" w:hAnsi="Times New Roman" w:cs="Times New Roman" w:hint="eastAsia"/>
          <w:sz w:val="20"/>
          <w:szCs w:val="20"/>
        </w:rPr>
        <w:t>TA. When out of the time range, an updated TA value should be applied for pre-compensation to avoid decoding failure.</w:t>
      </w:r>
    </w:p>
    <w:p w:rsidR="007408A7" w:rsidRDefault="007408A7" w:rsidP="007408A7">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5</w:t>
      </w:r>
      <w:r>
        <w:rPr>
          <w:rFonts w:ascii="Times New Roman" w:hAnsi="Times New Roman" w:cs="Times New Roman"/>
          <w:b/>
          <w:i/>
          <w:sz w:val="20"/>
          <w:szCs w:val="20"/>
        </w:rPr>
        <w:t xml:space="preserve">: </w:t>
      </w:r>
      <w:r w:rsidRPr="00456D28">
        <w:rPr>
          <w:rFonts w:ascii="Times New Roman" w:hAnsi="Times New Roman" w:cs="Times New Roman"/>
          <w:i/>
          <w:sz w:val="20"/>
          <w:szCs w:val="20"/>
        </w:rPr>
        <w:t>A valid time range can be indicated to UE for one TA value applied in one UL transmission</w:t>
      </w:r>
      <w:r w:rsidRPr="00DA1729">
        <w:rPr>
          <w:rFonts w:ascii="Times New Roman" w:eastAsia="宋体" w:hAnsi="Times New Roman" w:hint="eastAsia"/>
          <w:i/>
          <w:sz w:val="20"/>
          <w:szCs w:val="20"/>
        </w:rPr>
        <w:t>.</w:t>
      </w:r>
    </w:p>
    <w:p w:rsidR="007408A7" w:rsidRDefault="007408A7" w:rsidP="007408A7">
      <w:pPr>
        <w:numPr>
          <w:ilvl w:val="3"/>
          <w:numId w:val="0"/>
        </w:num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Moreover, in NTN case, to enable the enhancement for time relationship, the reported TA from UE is needed, which can be delivered </w:t>
      </w:r>
      <w:r>
        <w:rPr>
          <w:rFonts w:ascii="Times New Roman" w:eastAsia="宋体" w:hAnsi="Times New Roman" w:cs="Times New Roman" w:hint="eastAsia"/>
          <w:sz w:val="20"/>
          <w:szCs w:val="20"/>
        </w:rPr>
        <w:t>in RACH procedure or (N</w:t>
      </w:r>
      <w:proofErr w:type="gramStart"/>
      <w:r>
        <w:rPr>
          <w:rFonts w:ascii="Times New Roman" w:eastAsia="宋体" w:hAnsi="Times New Roman" w:cs="Times New Roman" w:hint="eastAsia"/>
          <w:sz w:val="20"/>
          <w:szCs w:val="20"/>
        </w:rPr>
        <w:t>)PUSCH</w:t>
      </w:r>
      <w:proofErr w:type="gramEnd"/>
      <w:r>
        <w:rPr>
          <w:rFonts w:ascii="Times New Roman" w:eastAsia="宋体" w:hAnsi="Times New Roman" w:cs="Times New Roman" w:hint="eastAsia"/>
          <w:sz w:val="20"/>
          <w:szCs w:val="20"/>
        </w:rPr>
        <w:t xml:space="preserve"> transmission</w:t>
      </w:r>
      <w:r>
        <w:rPr>
          <w:rFonts w:ascii="Times New Roman" w:eastAsia="宋体" w:hAnsi="Times New Roman" w:cs="Times New Roman"/>
          <w:sz w:val="20"/>
          <w:szCs w:val="20"/>
        </w:rPr>
        <w:t xml:space="preserve">. In this case, with consideration on the long UL transmission of channel delivering the TA report, it is not reasonable to report all </w:t>
      </w:r>
      <w:r>
        <w:rPr>
          <w:rFonts w:ascii="Times New Roman" w:eastAsia="宋体" w:hAnsi="Times New Roman" w:cs="Times New Roman" w:hint="eastAsia"/>
          <w:sz w:val="20"/>
          <w:szCs w:val="20"/>
        </w:rPr>
        <w:t>TA values</w:t>
      </w:r>
      <w:r>
        <w:rPr>
          <w:rFonts w:ascii="Times New Roman" w:eastAsia="宋体" w:hAnsi="Times New Roman" w:cs="Times New Roman"/>
          <w:sz w:val="20"/>
          <w:szCs w:val="20"/>
        </w:rPr>
        <w:t xml:space="preserve"> and either the </w:t>
      </w:r>
      <w:r>
        <w:rPr>
          <w:rFonts w:ascii="Times New Roman" w:eastAsia="宋体" w:hAnsi="Times New Roman" w:cs="Times New Roman" w:hint="eastAsia"/>
          <w:sz w:val="20"/>
          <w:szCs w:val="20"/>
        </w:rPr>
        <w:t xml:space="preserve">TA </w:t>
      </w:r>
      <w:r>
        <w:rPr>
          <w:rFonts w:ascii="Times New Roman" w:eastAsia="宋体" w:hAnsi="Times New Roman" w:cs="Times New Roman"/>
          <w:sz w:val="20"/>
          <w:szCs w:val="20"/>
        </w:rPr>
        <w:t xml:space="preserve">applied to the </w:t>
      </w:r>
      <w:r>
        <w:rPr>
          <w:rFonts w:ascii="Times New Roman" w:eastAsia="宋体" w:hAnsi="Times New Roman" w:cs="Times New Roman" w:hint="eastAsia"/>
          <w:sz w:val="20"/>
          <w:szCs w:val="20"/>
        </w:rPr>
        <w:t>first or last segment</w:t>
      </w:r>
      <w:r>
        <w:rPr>
          <w:rFonts w:ascii="Times New Roman" w:eastAsia="宋体" w:hAnsi="Times New Roman" w:cs="Times New Roman"/>
          <w:sz w:val="20"/>
          <w:szCs w:val="20"/>
        </w:rPr>
        <w:t xml:space="preserve"> is preferred</w:t>
      </w:r>
      <w:r w:rsidR="00C7279D">
        <w:rPr>
          <w:rFonts w:ascii="Times New Roman" w:eastAsia="宋体" w:hAnsi="Times New Roman" w:cs="Times New Roman"/>
          <w:sz w:val="20"/>
          <w:szCs w:val="20"/>
        </w:rPr>
        <w:t>.</w:t>
      </w:r>
    </w:p>
    <w:p w:rsidR="007408A7" w:rsidRDefault="007408A7" w:rsidP="007408A7">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6</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When TA report is enabled, TA value of first or last segment </w:t>
      </w:r>
      <w:r>
        <w:rPr>
          <w:rFonts w:ascii="Times New Roman" w:eastAsia="宋体" w:hAnsi="Times New Roman"/>
          <w:i/>
          <w:sz w:val="20"/>
          <w:szCs w:val="20"/>
        </w:rPr>
        <w:t xml:space="preserve">of transmission delivering the TA report </w:t>
      </w:r>
      <w:r>
        <w:rPr>
          <w:rFonts w:ascii="Times New Roman" w:eastAsia="宋体" w:hAnsi="Times New Roman" w:hint="eastAsia"/>
          <w:i/>
          <w:sz w:val="20"/>
          <w:szCs w:val="20"/>
        </w:rPr>
        <w:t xml:space="preserve">should be </w:t>
      </w:r>
      <w:r>
        <w:rPr>
          <w:rFonts w:ascii="Times New Roman" w:eastAsia="宋体" w:hAnsi="Times New Roman"/>
          <w:i/>
          <w:sz w:val="20"/>
          <w:szCs w:val="20"/>
        </w:rPr>
        <w:t>considered</w:t>
      </w:r>
      <w:r>
        <w:rPr>
          <w:rFonts w:ascii="Times New Roman" w:eastAsia="宋体" w:hAnsi="Times New Roman" w:hint="eastAsia"/>
          <w:i/>
          <w:sz w:val="20"/>
          <w:szCs w:val="20"/>
        </w:rPr>
        <w:t>.</w:t>
      </w:r>
    </w:p>
    <w:p w:rsidR="007408A7" w:rsidRDefault="007408A7" w:rsidP="007408A7">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the GNSS</w:t>
      </w:r>
      <w:r w:rsidR="00152655">
        <w:rPr>
          <w:rFonts w:eastAsia="黑体" w:cs="Times New Roman"/>
          <w:b/>
          <w:bCs/>
          <w:sz w:val="28"/>
          <w:szCs w:val="30"/>
          <w:lang w:val="en-US"/>
        </w:rPr>
        <w:t xml:space="preserve"> and SIB reading</w:t>
      </w:r>
    </w:p>
    <w:p w:rsidR="00C44233" w:rsidRDefault="005C67B5">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The UL synchronization in IoT-NTN relies on the pre-compensation of TA and Doppler</w:t>
      </w:r>
      <w:r>
        <w:rPr>
          <w:rFonts w:ascii="Times New Roman" w:eastAsia="宋体" w:hAnsi="Times New Roman" w:cs="Times New Roman"/>
          <w:sz w:val="20"/>
          <w:szCs w:val="20"/>
        </w:rPr>
        <w:t xml:space="preserve"> based on calculation at UE side for service link and indication from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(e.g., at least for TA) w.r.t the feeder link according to the basic assumption </w:t>
      </w:r>
      <w:r>
        <w:rPr>
          <w:rFonts w:ascii="Times New Roman" w:eastAsia="宋体" w:hAnsi="Times New Roman" w:cs="Times New Roman" w:hint="eastAsia"/>
          <w:sz w:val="20"/>
          <w:szCs w:val="20"/>
        </w:rPr>
        <w:t xml:space="preserve">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_Ref8578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w.r.t the UE’s capability for GNSS. Generally, in this way, </w:t>
      </w:r>
      <w:r>
        <w:rPr>
          <w:rFonts w:ascii="Times New Roman" w:eastAsia="宋体" w:hAnsi="Times New Roman" w:cs="Times New Roman" w:hint="eastAsia"/>
          <w:sz w:val="20"/>
          <w:szCs w:val="20"/>
        </w:rPr>
        <w:t xml:space="preserve">an NTN UE at least needs to support the </w:t>
      </w:r>
      <w:r>
        <w:rPr>
          <w:rFonts w:ascii="Times New Roman" w:eastAsia="宋体" w:hAnsi="Times New Roman" w:cs="Times New Roman"/>
          <w:sz w:val="20"/>
          <w:szCs w:val="20"/>
        </w:rPr>
        <w:t xml:space="preserve">acquisition of its own </w:t>
      </w:r>
      <w:r>
        <w:rPr>
          <w:rFonts w:ascii="Times New Roman" w:eastAsia="宋体" w:hAnsi="Times New Roman" w:cs="Times New Roman" w:hint="eastAsia"/>
          <w:sz w:val="20"/>
          <w:szCs w:val="20"/>
        </w:rPr>
        <w:t xml:space="preserve">position and velocity by GNSS and SIB reading for satellite ephemeris. </w:t>
      </w:r>
      <w:r>
        <w:rPr>
          <w:rFonts w:ascii="Times New Roman" w:eastAsia="宋体" w:hAnsi="Times New Roman" w:cs="Times New Roman"/>
          <w:sz w:val="20"/>
          <w:szCs w:val="20"/>
        </w:rPr>
        <w:t xml:space="preserve">Comparing to the legacy TN network, </w:t>
      </w:r>
      <w:r>
        <w:rPr>
          <w:rFonts w:ascii="Times New Roman" w:eastAsia="宋体" w:hAnsi="Times New Roman" w:cs="Times New Roman" w:hint="eastAsia"/>
          <w:sz w:val="20"/>
          <w:szCs w:val="20"/>
        </w:rPr>
        <w:t xml:space="preserve">the effect of UL synchronization </w:t>
      </w:r>
      <w:r>
        <w:rPr>
          <w:rFonts w:ascii="Times New Roman" w:eastAsia="宋体" w:hAnsi="Times New Roman" w:cs="Times New Roman"/>
          <w:sz w:val="20"/>
          <w:szCs w:val="20"/>
        </w:rPr>
        <w:t xml:space="preserve">will have impacts </w:t>
      </w:r>
      <w:r>
        <w:rPr>
          <w:rFonts w:ascii="Times New Roman" w:eastAsia="宋体" w:hAnsi="Times New Roman" w:cs="Times New Roman" w:hint="eastAsia"/>
          <w:sz w:val="20"/>
          <w:szCs w:val="20"/>
        </w:rPr>
        <w:t>on the battery life</w:t>
      </w:r>
      <w:r>
        <w:rPr>
          <w:rFonts w:ascii="Times New Roman" w:eastAsia="宋体" w:hAnsi="Times New Roman" w:cs="Times New Roman"/>
          <w:sz w:val="20"/>
          <w:szCs w:val="20"/>
        </w:rPr>
        <w:t>.</w:t>
      </w:r>
    </w:p>
    <w:p w:rsidR="00C44233" w:rsidRDefault="005C67B5">
      <w:pPr>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power consumption for SIB reading for satellite ephemeris is determined by the size of the ephemeris and the coupling loss. Two options of satellite ephemeris are proposed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_Ref12729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i.e</w:t>
      </w:r>
      <w:r w:rsidR="00152655">
        <w:rPr>
          <w:rFonts w:ascii="Times New Roman" w:eastAsia="宋体" w:hAnsi="Times New Roman" w:cs="Times New Roman"/>
          <w:sz w:val="20"/>
          <w:szCs w:val="20"/>
        </w:rPr>
        <w:t>.</w:t>
      </w:r>
    </w:p>
    <w:p w:rsidR="00C44233" w:rsidRDefault="005C67B5">
      <w:pPr>
        <w:pStyle w:val="ac"/>
        <w:numPr>
          <w:ilvl w:val="0"/>
          <w:numId w:val="6"/>
        </w:numPr>
        <w:adjustRightInd w:val="0"/>
        <w:snapToGrid w:val="0"/>
        <w:spacing w:beforeLines="50" w:before="120" w:afterLines="50" w:after="120"/>
        <w:ind w:firstLineChars="0"/>
        <w:rPr>
          <w:rFonts w:ascii="Times New Roman" w:eastAsia="宋体" w:hAnsi="Times New Roman" w:cs="Times New Roman"/>
          <w:sz w:val="20"/>
          <w:szCs w:val="20"/>
        </w:rPr>
      </w:pPr>
      <w:r>
        <w:rPr>
          <w:rFonts w:ascii="Times New Roman" w:eastAsia="宋体" w:hAnsi="Times New Roman" w:cs="Times New Roman"/>
          <w:sz w:val="20"/>
          <w:szCs w:val="20"/>
        </w:rPr>
        <w:t>Option 1: ephemeris format based orbital elements</w:t>
      </w:r>
    </w:p>
    <w:p w:rsidR="007408A7" w:rsidRPr="007408A7" w:rsidRDefault="005C67B5" w:rsidP="007408A7">
      <w:pPr>
        <w:pStyle w:val="ac"/>
        <w:numPr>
          <w:ilvl w:val="0"/>
          <w:numId w:val="6"/>
        </w:numPr>
        <w:adjustRightInd w:val="0"/>
        <w:snapToGrid w:val="0"/>
        <w:spacing w:beforeLines="50" w:before="120" w:afterLines="50" w:after="120"/>
        <w:ind w:firstLineChars="0"/>
        <w:rPr>
          <w:rFonts w:ascii="Times New Roman" w:eastAsia="宋体" w:hAnsi="Times New Roman" w:cs="Times New Roman"/>
          <w:sz w:val="20"/>
          <w:szCs w:val="20"/>
        </w:rPr>
      </w:pPr>
      <w:r>
        <w:rPr>
          <w:rFonts w:ascii="Times New Roman" w:eastAsia="宋体" w:hAnsi="Times New Roman" w:cs="Times New Roman"/>
          <w:sz w:val="20"/>
          <w:szCs w:val="20"/>
        </w:rPr>
        <w:t>Option 2: ephemeris format based on instant state vectors with implicit time: e.g., instant position and instant velocity</w:t>
      </w:r>
    </w:p>
    <w:p w:rsidR="00C44233" w:rsidRDefault="005C67B5">
      <w:pPr>
        <w:pStyle w:val="a5"/>
        <w:ind w:leftChars="200" w:left="440"/>
        <w:rPr>
          <w:rFonts w:eastAsia="宋体"/>
          <w:lang w:val="en-US" w:eastAsia="zh-CN"/>
        </w:rPr>
      </w:pPr>
      <w:r>
        <w:rPr>
          <w:rFonts w:eastAsia="宋体" w:hint="eastAsia"/>
          <w:lang w:val="en-US" w:eastAsia="zh-CN"/>
        </w:rPr>
        <w:t>In Option 1, the ephemeris comprises of 13 parameters, i.e., epoch time,</w:t>
      </w:r>
      <w:r>
        <w:rPr>
          <w:sz w:val="16"/>
          <w:lang w:eastAsia="zh-TW"/>
        </w:rPr>
        <w:t xml:space="preserve"> </w:t>
      </w:r>
      <w:r>
        <w:rPr>
          <w:szCs w:val="22"/>
          <w:lang w:eastAsia="zh-TW"/>
        </w:rPr>
        <w:t>α (km)</w:t>
      </w:r>
      <w:r>
        <w:rPr>
          <w:rFonts w:hint="eastAsia"/>
          <w:szCs w:val="22"/>
          <w:lang w:val="en-US" w:eastAsia="zh-CN"/>
        </w:rPr>
        <w:t xml:space="preserve">, </w:t>
      </w:r>
      <w:r>
        <w:rPr>
          <w:szCs w:val="22"/>
          <w:lang w:eastAsia="zh-TW"/>
        </w:rPr>
        <w:t>e</w:t>
      </w:r>
      <w:r>
        <w:rPr>
          <w:rFonts w:hint="eastAsia"/>
          <w:szCs w:val="22"/>
          <w:lang w:val="en-US" w:eastAsia="zh-CN"/>
        </w:rPr>
        <w:t xml:space="preserve">, </w:t>
      </w:r>
      <w:r>
        <w:rPr>
          <w:szCs w:val="22"/>
          <w:lang w:eastAsia="zh-TW"/>
        </w:rPr>
        <w:t>I (</w:t>
      </w:r>
      <w:proofErr w:type="spellStart"/>
      <w:r>
        <w:rPr>
          <w:szCs w:val="22"/>
          <w:lang w:eastAsia="zh-TW"/>
        </w:rPr>
        <w:t>deg</w:t>
      </w:r>
      <w:proofErr w:type="spellEnd"/>
      <w:r>
        <w:rPr>
          <w:szCs w:val="22"/>
          <w:lang w:eastAsia="zh-TW"/>
        </w:rPr>
        <w:t>)</w:t>
      </w:r>
      <w:r>
        <w:rPr>
          <w:rFonts w:hint="eastAsia"/>
          <w:szCs w:val="22"/>
          <w:lang w:val="en-US" w:eastAsia="zh-CN"/>
        </w:rPr>
        <w:t xml:space="preserve">, </w:t>
      </w:r>
      <w:r>
        <w:rPr>
          <w:szCs w:val="22"/>
          <w:lang w:eastAsia="zh-TW"/>
        </w:rPr>
        <w:t>Ω (</w:t>
      </w:r>
      <w:proofErr w:type="spellStart"/>
      <w:r>
        <w:rPr>
          <w:szCs w:val="22"/>
          <w:lang w:eastAsia="zh-TW"/>
        </w:rPr>
        <w:t>deg</w:t>
      </w:r>
      <w:proofErr w:type="spellEnd"/>
      <w:r>
        <w:rPr>
          <w:szCs w:val="22"/>
          <w:lang w:eastAsia="zh-TW"/>
        </w:rPr>
        <w:t>)</w:t>
      </w:r>
      <w:r>
        <w:rPr>
          <w:rFonts w:hint="eastAsia"/>
          <w:szCs w:val="22"/>
          <w:lang w:val="en-US" w:eastAsia="zh-CN"/>
        </w:rPr>
        <w:t xml:space="preserve">, </w:t>
      </w:r>
      <w:r>
        <w:rPr>
          <w:szCs w:val="22"/>
          <w:lang w:eastAsia="zh-TW"/>
        </w:rPr>
        <w:t>ω (</w:t>
      </w:r>
      <w:proofErr w:type="spellStart"/>
      <w:r>
        <w:rPr>
          <w:szCs w:val="22"/>
          <w:lang w:eastAsia="zh-TW"/>
        </w:rPr>
        <w:t>deg</w:t>
      </w:r>
      <w:proofErr w:type="spellEnd"/>
      <w:r>
        <w:rPr>
          <w:szCs w:val="22"/>
          <w:lang w:eastAsia="zh-TW"/>
        </w:rPr>
        <w:t>)</w:t>
      </w:r>
      <w:r>
        <w:rPr>
          <w:rFonts w:hint="eastAsia"/>
          <w:szCs w:val="22"/>
          <w:lang w:val="en-US" w:eastAsia="zh-CN"/>
        </w:rPr>
        <w:t xml:space="preserve">, </w:t>
      </w:r>
      <w:r>
        <w:rPr>
          <w:lang w:eastAsia="zh-TW"/>
        </w:rPr>
        <w:t xml:space="preserve">M </w:t>
      </w:r>
      <w:r>
        <w:rPr>
          <w:szCs w:val="22"/>
          <w:lang w:eastAsia="zh-TW"/>
        </w:rPr>
        <w:t>(</w:t>
      </w:r>
      <w:proofErr w:type="spellStart"/>
      <w:r>
        <w:rPr>
          <w:szCs w:val="22"/>
          <w:lang w:eastAsia="zh-TW"/>
        </w:rPr>
        <w:t>deg</w:t>
      </w:r>
      <w:proofErr w:type="spellEnd"/>
      <w:r>
        <w:rPr>
          <w:szCs w:val="22"/>
          <w:lang w:eastAsia="zh-TW"/>
        </w:rPr>
        <w:t>)</w:t>
      </w:r>
      <w:r>
        <w:rPr>
          <w:rFonts w:hint="eastAsia"/>
          <w:szCs w:val="22"/>
          <w:lang w:val="en-US" w:eastAsia="zh-CN"/>
        </w:rPr>
        <w:t>,</w:t>
      </w:r>
      <w:r>
        <w:rPr>
          <w:szCs w:val="22"/>
          <w:lang w:eastAsia="zh-TW"/>
        </w:rPr>
        <w:t xml:space="preserve"> </w:t>
      </w:r>
      <w:r>
        <w:rPr>
          <w:rFonts w:hint="eastAsia"/>
          <w:szCs w:val="22"/>
          <w:lang w:eastAsia="zh-TW"/>
        </w:rPr>
        <w:t>SX (km)</w:t>
      </w:r>
      <w:r>
        <w:rPr>
          <w:rFonts w:hint="eastAsia"/>
          <w:szCs w:val="22"/>
          <w:lang w:val="en-US" w:eastAsia="zh-CN"/>
        </w:rPr>
        <w:t xml:space="preserve">, </w:t>
      </w:r>
      <w:r>
        <w:rPr>
          <w:rFonts w:hint="eastAsia"/>
          <w:szCs w:val="22"/>
          <w:lang w:eastAsia="zh-TW"/>
        </w:rPr>
        <w:t>SY (km)</w:t>
      </w:r>
      <w:r>
        <w:rPr>
          <w:rFonts w:hint="eastAsia"/>
          <w:szCs w:val="22"/>
          <w:lang w:val="en-US" w:eastAsia="zh-CN"/>
        </w:rPr>
        <w:t xml:space="preserve">, </w:t>
      </w:r>
      <w:r>
        <w:rPr>
          <w:rFonts w:hint="eastAsia"/>
          <w:szCs w:val="22"/>
          <w:lang w:eastAsia="zh-TW"/>
        </w:rPr>
        <w:t>SZ (km)</w:t>
      </w:r>
      <w:r>
        <w:rPr>
          <w:rFonts w:hint="eastAsia"/>
          <w:szCs w:val="22"/>
          <w:lang w:val="en-US" w:eastAsia="zh-CN"/>
        </w:rPr>
        <w:t xml:space="preserve">, </w:t>
      </w:r>
      <w:r>
        <w:rPr>
          <w:rFonts w:hint="eastAsia"/>
          <w:szCs w:val="22"/>
          <w:lang w:eastAsia="zh-TW"/>
        </w:rPr>
        <w:t>VX (km/s)</w:t>
      </w:r>
      <w:r>
        <w:rPr>
          <w:rFonts w:hint="eastAsia"/>
          <w:szCs w:val="22"/>
          <w:lang w:val="en-US" w:eastAsia="zh-CN"/>
        </w:rPr>
        <w:t xml:space="preserve">, </w:t>
      </w:r>
      <w:r>
        <w:rPr>
          <w:rFonts w:hint="eastAsia"/>
          <w:szCs w:val="22"/>
          <w:lang w:eastAsia="zh-TW"/>
        </w:rPr>
        <w:t>VY (km/s)</w:t>
      </w:r>
      <w:r>
        <w:rPr>
          <w:rFonts w:hint="eastAsia"/>
          <w:szCs w:val="22"/>
          <w:lang w:val="en-US" w:eastAsia="zh-CN"/>
        </w:rPr>
        <w:t xml:space="preserve">, </w:t>
      </w:r>
      <w:r>
        <w:rPr>
          <w:rFonts w:hint="eastAsia"/>
          <w:szCs w:val="22"/>
          <w:lang w:eastAsia="zh-TW"/>
        </w:rPr>
        <w:t>VZ (km/s)</w:t>
      </w:r>
      <w:r>
        <w:rPr>
          <w:rFonts w:hint="eastAsia"/>
          <w:sz w:val="16"/>
          <w:lang w:val="en-US" w:eastAsia="zh-CN"/>
        </w:rPr>
        <w:t xml:space="preserve">. </w:t>
      </w:r>
      <w:r>
        <w:rPr>
          <w:rFonts w:eastAsia="宋体" w:hint="eastAsia"/>
          <w:lang w:val="en-US" w:eastAsia="zh-CN"/>
        </w:rPr>
        <w:t>Suppose each of them is denoted by a float32, then 52 Bytes of payload is needed to indicate the ephemeris.</w:t>
      </w:r>
      <w:r>
        <w:rPr>
          <w:rFonts w:eastAsia="宋体"/>
          <w:lang w:val="en-US" w:eastAsia="zh-CN"/>
        </w:rPr>
        <w:t xml:space="preserve"> For </w:t>
      </w:r>
      <w:r>
        <w:rPr>
          <w:rFonts w:eastAsia="宋体" w:hint="eastAsia"/>
          <w:lang w:val="en-US" w:eastAsia="zh-CN"/>
        </w:rPr>
        <w:t xml:space="preserve">Option 2, as is pointed in </w:t>
      </w:r>
      <w:r>
        <w:rPr>
          <w:rFonts w:eastAsia="宋体" w:hint="eastAsia"/>
          <w:lang w:val="en-US" w:eastAsia="zh-CN"/>
        </w:rPr>
        <w:fldChar w:fldCharType="begin"/>
      </w:r>
      <w:r>
        <w:rPr>
          <w:rFonts w:eastAsia="宋体" w:hint="eastAsia"/>
          <w:lang w:val="en-US" w:eastAsia="zh-CN"/>
        </w:rPr>
        <w:instrText xml:space="preserve"> REF _Ref12729 \w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Pr>
          <w:rFonts w:eastAsia="宋体" w:hint="eastAsia"/>
          <w:lang w:val="en-US" w:eastAsia="zh-CN"/>
        </w:rPr>
        <w:t>, the size of the needed payload is 16Bytes to realize the resolution of 1.3m and 0.06m/s</w:t>
      </w:r>
      <w:r>
        <w:rPr>
          <w:rFonts w:eastAsia="宋体"/>
          <w:lang w:val="en-US" w:eastAsia="zh-CN"/>
        </w:rPr>
        <w:t>.</w:t>
      </w:r>
    </w:p>
    <w:p w:rsidR="00C44233" w:rsidRDefault="002C1562">
      <w:pPr>
        <w:pStyle w:val="a5"/>
        <w:ind w:leftChars="200" w:left="440"/>
        <w:rPr>
          <w:rFonts w:eastAsia="宋体"/>
          <w:lang w:val="en-US" w:eastAsia="zh-CN"/>
        </w:rPr>
      </w:pPr>
      <w:r>
        <w:rPr>
          <w:rFonts w:eastAsia="宋体"/>
          <w:lang w:val="en-US" w:eastAsia="zh-CN"/>
        </w:rPr>
        <w:t xml:space="preserve">As indicated </w:t>
      </w:r>
      <w:r w:rsidR="005C67B5">
        <w:rPr>
          <w:rFonts w:eastAsia="宋体" w:hint="eastAsia"/>
          <w:lang w:val="en-US" w:eastAsia="zh-CN"/>
        </w:rPr>
        <w:t xml:space="preserve">in </w:t>
      </w:r>
      <w:r w:rsidR="005C67B5">
        <w:rPr>
          <w:rFonts w:eastAsia="宋体" w:hint="eastAsia"/>
          <w:lang w:val="en-US" w:eastAsia="zh-CN"/>
        </w:rPr>
        <w:fldChar w:fldCharType="begin"/>
      </w:r>
      <w:r w:rsidR="005C67B5">
        <w:rPr>
          <w:rFonts w:eastAsia="宋体" w:hint="eastAsia"/>
          <w:lang w:val="en-US" w:eastAsia="zh-CN"/>
        </w:rPr>
        <w:instrText xml:space="preserve"> REF _Ref18751 \w \h </w:instrText>
      </w:r>
      <w:r w:rsidR="005C67B5">
        <w:rPr>
          <w:rFonts w:eastAsia="宋体" w:hint="eastAsia"/>
          <w:lang w:val="en-US" w:eastAsia="zh-CN"/>
        </w:rPr>
      </w:r>
      <w:r w:rsidR="005C67B5">
        <w:rPr>
          <w:rFonts w:eastAsia="宋体" w:hint="eastAsia"/>
          <w:lang w:val="en-US" w:eastAsia="zh-CN"/>
        </w:rPr>
        <w:fldChar w:fldCharType="separate"/>
      </w:r>
      <w:r w:rsidR="005C67B5">
        <w:rPr>
          <w:rFonts w:eastAsia="宋体" w:hint="eastAsia"/>
          <w:lang w:val="en-US" w:eastAsia="zh-CN"/>
        </w:rPr>
        <w:t>[4]</w:t>
      </w:r>
      <w:r w:rsidR="005C67B5">
        <w:rPr>
          <w:rFonts w:eastAsia="宋体" w:hint="eastAsia"/>
          <w:lang w:val="en-US" w:eastAsia="zh-CN"/>
        </w:rPr>
        <w:fldChar w:fldCharType="end"/>
      </w:r>
      <w:r w:rsidR="005C67B5">
        <w:rPr>
          <w:rFonts w:eastAsia="宋体" w:hint="eastAsia"/>
          <w:lang w:val="en-US" w:eastAsia="zh-CN"/>
        </w:rPr>
        <w:t xml:space="preserve">, the power consumption of SIB reading is listed </w:t>
      </w:r>
      <w:r w:rsidR="005C67B5">
        <w:rPr>
          <w:rFonts w:eastAsia="宋体"/>
          <w:lang w:val="en-US" w:eastAsia="zh-CN"/>
        </w:rPr>
        <w:t xml:space="preserve">in </w:t>
      </w:r>
      <w:r w:rsidR="005C67B5">
        <w:rPr>
          <w:rFonts w:eastAsia="宋体"/>
          <w:lang w:val="en-US" w:eastAsia="zh-CN"/>
        </w:rPr>
        <w:fldChar w:fldCharType="begin"/>
      </w:r>
      <w:r w:rsidR="005C67B5">
        <w:rPr>
          <w:rFonts w:eastAsia="宋体"/>
          <w:lang w:val="en-US" w:eastAsia="zh-CN"/>
        </w:rPr>
        <w:instrText xml:space="preserve"> REF _Ref67935538 \h </w:instrText>
      </w:r>
      <w:r w:rsidR="005C67B5">
        <w:rPr>
          <w:rFonts w:eastAsia="宋体"/>
          <w:lang w:val="en-US" w:eastAsia="zh-CN"/>
        </w:rPr>
      </w:r>
      <w:r w:rsidR="005C67B5">
        <w:rPr>
          <w:rFonts w:eastAsia="宋体"/>
          <w:lang w:val="en-US" w:eastAsia="zh-CN"/>
        </w:rPr>
        <w:fldChar w:fldCharType="separate"/>
      </w:r>
      <w:r w:rsidR="005C67B5">
        <w:t>Table 2</w:t>
      </w:r>
      <w:r w:rsidR="005C67B5">
        <w:rPr>
          <w:rFonts w:eastAsia="宋体"/>
          <w:lang w:val="en-US" w:eastAsia="zh-CN"/>
        </w:rPr>
        <w:fldChar w:fldCharType="end"/>
      </w:r>
      <w:r w:rsidR="005C67B5">
        <w:rPr>
          <w:rFonts w:eastAsia="宋体" w:hint="eastAsia"/>
          <w:lang w:val="en-US" w:eastAsia="zh-CN"/>
        </w:rPr>
        <w:t>. It is shown that the Option 2 has a much less power consumption. In order to evaluate the reduction of battery life, we need to estimate the frequency</w:t>
      </w:r>
      <w:r w:rsidR="00B85C67">
        <w:rPr>
          <w:rFonts w:eastAsia="宋体"/>
          <w:lang w:val="en-US" w:eastAsia="zh-CN"/>
        </w:rPr>
        <w:t xml:space="preserve"> for </w:t>
      </w:r>
      <w:r w:rsidR="005C67B5">
        <w:rPr>
          <w:rFonts w:eastAsia="宋体" w:hint="eastAsia"/>
          <w:lang w:val="en-US" w:eastAsia="zh-CN"/>
        </w:rPr>
        <w:t>SIB reading.</w:t>
      </w:r>
    </w:p>
    <w:p w:rsidR="00C44233" w:rsidRDefault="005C67B5">
      <w:pPr>
        <w:pStyle w:val="a3"/>
        <w:keepNext/>
        <w:rPr>
          <w:b w:val="0"/>
        </w:rPr>
      </w:pPr>
      <w:bookmarkStart w:id="6" w:name="_Ref67935538"/>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6"/>
      <w:r>
        <w:rPr>
          <w:b w:val="0"/>
        </w:rPr>
        <w:t xml:space="preserve"> </w:t>
      </w:r>
      <w:r>
        <w:rPr>
          <w:b w:val="0"/>
          <w:bCs w:val="0"/>
          <w:lang w:val="en-US"/>
        </w:rPr>
        <w:t>Power consumption of SIB reading for satellite ephemeris</w:t>
      </w:r>
    </w:p>
    <w:tbl>
      <w:tblPr>
        <w:tblStyle w:val="aa"/>
        <w:tblW w:w="9204" w:type="dxa"/>
        <w:jc w:val="center"/>
        <w:tblLayout w:type="fixed"/>
        <w:tblLook w:val="04A0" w:firstRow="1" w:lastRow="0" w:firstColumn="1" w:lastColumn="0" w:noHBand="0" w:noVBand="1"/>
      </w:tblPr>
      <w:tblGrid>
        <w:gridCol w:w="3254"/>
        <w:gridCol w:w="885"/>
        <w:gridCol w:w="1095"/>
        <w:gridCol w:w="1441"/>
        <w:gridCol w:w="1209"/>
        <w:gridCol w:w="1320"/>
      </w:tblGrid>
      <w:tr w:rsidR="00C44233" w:rsidTr="005C67B5">
        <w:trPr>
          <w:trHeight w:val="270"/>
          <w:jc w:val="center"/>
        </w:trPr>
        <w:tc>
          <w:tcPr>
            <w:tcW w:w="3254"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44233" w:rsidRDefault="005C67B5">
            <w:pPr>
              <w:snapToGrid w:val="0"/>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Message</w:t>
            </w:r>
          </w:p>
        </w:tc>
        <w:tc>
          <w:tcPr>
            <w:tcW w:w="885"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44233" w:rsidRDefault="005C67B5">
            <w:pPr>
              <w:snapToGrid w:val="0"/>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State</w:t>
            </w:r>
          </w:p>
        </w:tc>
        <w:tc>
          <w:tcPr>
            <w:tcW w:w="1095"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44233" w:rsidRDefault="005C67B5">
            <w:pPr>
              <w:snapToGrid w:val="0"/>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Bytes (L1)</w:t>
            </w:r>
          </w:p>
        </w:tc>
        <w:tc>
          <w:tcPr>
            <w:tcW w:w="3970" w:type="dxa"/>
            <w:gridSpan w:val="3"/>
            <w:tcBorders>
              <w:left w:val="single" w:sz="4" w:space="0" w:color="auto"/>
            </w:tcBorders>
            <w:shd w:val="clear" w:color="auto" w:fill="DEEAF6" w:themeFill="accent1" w:themeFillTint="33"/>
            <w:vAlign w:val="center"/>
          </w:tcPr>
          <w:p w:rsidR="00C44233" w:rsidRDefault="005C67B5">
            <w:pPr>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Transmission time (ms)</w:t>
            </w:r>
          </w:p>
        </w:tc>
      </w:tr>
      <w:tr w:rsidR="00C44233" w:rsidTr="005C67B5">
        <w:trPr>
          <w:trHeight w:val="270"/>
          <w:jc w:val="center"/>
        </w:trPr>
        <w:tc>
          <w:tcPr>
            <w:tcW w:w="3254" w:type="dxa"/>
            <w:vMerge/>
            <w:tcBorders>
              <w:left w:val="single" w:sz="4" w:space="0" w:color="auto"/>
              <w:bottom w:val="single" w:sz="4" w:space="0" w:color="auto"/>
              <w:right w:val="single" w:sz="4" w:space="0" w:color="auto"/>
            </w:tcBorders>
            <w:shd w:val="clear" w:color="auto" w:fill="DEEAF6" w:themeFill="accent1" w:themeFillTint="33"/>
            <w:vAlign w:val="center"/>
          </w:tcPr>
          <w:p w:rsidR="00C44233" w:rsidRDefault="00C44233">
            <w:pPr>
              <w:snapToGrid w:val="0"/>
              <w:spacing w:after="0" w:line="240" w:lineRule="auto"/>
              <w:jc w:val="center"/>
              <w:rPr>
                <w:rFonts w:ascii="Times New Roman" w:hAnsi="Times New Roman" w:cs="Times New Roman"/>
                <w:sz w:val="20"/>
                <w:szCs w:val="20"/>
              </w:rPr>
            </w:pPr>
          </w:p>
        </w:tc>
        <w:tc>
          <w:tcPr>
            <w:tcW w:w="885" w:type="dxa"/>
            <w:vMerge/>
            <w:tcBorders>
              <w:left w:val="single" w:sz="4" w:space="0" w:color="auto"/>
              <w:right w:val="single" w:sz="4" w:space="0" w:color="auto"/>
            </w:tcBorders>
            <w:shd w:val="clear" w:color="auto" w:fill="DEEAF6" w:themeFill="accent1" w:themeFillTint="33"/>
            <w:vAlign w:val="center"/>
          </w:tcPr>
          <w:p w:rsidR="00C44233" w:rsidRDefault="00C44233">
            <w:pPr>
              <w:snapToGrid w:val="0"/>
              <w:spacing w:after="0" w:line="240" w:lineRule="auto"/>
              <w:jc w:val="center"/>
              <w:rPr>
                <w:rFonts w:ascii="Times New Roman" w:hAnsi="Times New Roman" w:cs="Times New Roman"/>
                <w:sz w:val="20"/>
                <w:szCs w:val="20"/>
              </w:rPr>
            </w:pPr>
          </w:p>
        </w:tc>
        <w:tc>
          <w:tcPr>
            <w:tcW w:w="1095" w:type="dxa"/>
            <w:vMerge/>
            <w:tcBorders>
              <w:left w:val="single" w:sz="4" w:space="0" w:color="auto"/>
              <w:right w:val="single" w:sz="4" w:space="0" w:color="auto"/>
            </w:tcBorders>
            <w:shd w:val="clear" w:color="auto" w:fill="DEEAF6" w:themeFill="accent1" w:themeFillTint="33"/>
            <w:vAlign w:val="center"/>
          </w:tcPr>
          <w:p w:rsidR="00C44233" w:rsidRDefault="00C44233">
            <w:pPr>
              <w:snapToGrid w:val="0"/>
              <w:spacing w:after="0" w:line="240" w:lineRule="auto"/>
              <w:jc w:val="center"/>
              <w:rPr>
                <w:rFonts w:ascii="Times New Roman" w:hAnsi="Times New Roman" w:cs="Times New Roman"/>
                <w:sz w:val="20"/>
                <w:szCs w:val="20"/>
              </w:rPr>
            </w:pPr>
          </w:p>
        </w:tc>
        <w:tc>
          <w:tcPr>
            <w:tcW w:w="1441" w:type="dxa"/>
            <w:tcBorders>
              <w:left w:val="single" w:sz="4" w:space="0" w:color="auto"/>
            </w:tcBorders>
            <w:shd w:val="clear" w:color="auto" w:fill="DEEAF6" w:themeFill="accent1" w:themeFillTint="33"/>
            <w:vAlign w:val="center"/>
          </w:tcPr>
          <w:p w:rsidR="00C44233" w:rsidRDefault="005C67B5">
            <w:pPr>
              <w:snapToGrid w:val="0"/>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144 dB</w:t>
            </w:r>
          </w:p>
        </w:tc>
        <w:tc>
          <w:tcPr>
            <w:tcW w:w="1209" w:type="dxa"/>
            <w:shd w:val="clear" w:color="auto" w:fill="DEEAF6" w:themeFill="accent1" w:themeFillTint="33"/>
            <w:vAlign w:val="center"/>
          </w:tcPr>
          <w:p w:rsidR="00C44233" w:rsidRDefault="005C67B5">
            <w:pPr>
              <w:snapToGrid w:val="0"/>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154 dB</w:t>
            </w:r>
          </w:p>
        </w:tc>
        <w:tc>
          <w:tcPr>
            <w:tcW w:w="1320" w:type="dxa"/>
            <w:shd w:val="clear" w:color="auto" w:fill="DEEAF6" w:themeFill="accent1" w:themeFillTint="33"/>
            <w:vAlign w:val="center"/>
          </w:tcPr>
          <w:p w:rsidR="00C44233" w:rsidRDefault="005C67B5">
            <w:pPr>
              <w:snapToGrid w:val="0"/>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164 dB</w:t>
            </w:r>
          </w:p>
        </w:tc>
      </w:tr>
      <w:tr w:rsidR="00C44233" w:rsidTr="005C67B5">
        <w:trPr>
          <w:trHeight w:val="435"/>
          <w:jc w:val="center"/>
        </w:trPr>
        <w:tc>
          <w:tcPr>
            <w:tcW w:w="3254" w:type="dxa"/>
            <w:tcBorders>
              <w:top w:val="single" w:sz="4" w:space="0" w:color="auto"/>
              <w:bottom w:val="single" w:sz="4" w:space="0" w:color="auto"/>
            </w:tcBorders>
            <w:vAlign w:val="center"/>
          </w:tcPr>
          <w:p w:rsidR="00C44233" w:rsidRDefault="005C67B5">
            <w:pPr>
              <w:snapToGrid w:val="0"/>
              <w:spacing w:after="0" w:line="240" w:lineRule="auto"/>
              <w:jc w:val="center"/>
              <w:rPr>
                <w:rFonts w:ascii="Times New Roman" w:eastAsia="宋体" w:hAnsi="Times New Roman" w:cs="Times New Roman"/>
                <w:sz w:val="20"/>
                <w:szCs w:val="20"/>
              </w:rPr>
            </w:pPr>
            <w:r>
              <w:rPr>
                <w:rFonts w:ascii="Times New Roman" w:eastAsia="MS Mincho" w:hAnsi="Times New Roman" w:cs="Times New Roman"/>
                <w:sz w:val="20"/>
                <w:szCs w:val="20"/>
              </w:rPr>
              <w:t>DL assignment</w:t>
            </w:r>
            <w:r>
              <w:rPr>
                <w:rFonts w:ascii="Times New Roman" w:hAnsi="Times New Roman" w:cs="Times New Roman"/>
                <w:sz w:val="20"/>
                <w:szCs w:val="20"/>
              </w:rPr>
              <w:t xml:space="preserve">(from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_Ref18751 \w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885" w:type="dxa"/>
            <w:vAlign w:val="center"/>
          </w:tcPr>
          <w:p w:rsidR="00C44233" w:rsidRDefault="005C67B5">
            <w:pPr>
              <w:snapToGrid w:val="0"/>
              <w:spacing w:after="0" w:line="240" w:lineRule="auto"/>
              <w:jc w:val="center"/>
              <w:rPr>
                <w:rFonts w:ascii="Times New Roman" w:eastAsia="MS Mincho" w:hAnsi="Times New Roman" w:cs="Times New Roman"/>
                <w:sz w:val="20"/>
              </w:rPr>
            </w:pPr>
            <w:r>
              <w:rPr>
                <w:rFonts w:ascii="Times New Roman" w:eastAsia="MS Mincho" w:hAnsi="Times New Roman" w:cs="Times New Roman"/>
                <w:sz w:val="20"/>
              </w:rPr>
              <w:t>Rx</w:t>
            </w:r>
          </w:p>
        </w:tc>
        <w:tc>
          <w:tcPr>
            <w:tcW w:w="1095" w:type="dxa"/>
            <w:vAlign w:val="center"/>
          </w:tcPr>
          <w:p w:rsidR="00C44233" w:rsidRDefault="005C67B5">
            <w:pPr>
              <w:snapToGrid w:val="0"/>
              <w:spacing w:after="0" w:line="240" w:lineRule="auto"/>
              <w:jc w:val="center"/>
              <w:rPr>
                <w:rFonts w:ascii="Times New Roman" w:eastAsia="MS Mincho" w:hAnsi="Times New Roman" w:cs="Times New Roman"/>
                <w:sz w:val="20"/>
              </w:rPr>
            </w:pPr>
            <w:r>
              <w:rPr>
                <w:rFonts w:ascii="Times New Roman" w:eastAsia="MS Mincho" w:hAnsi="Times New Roman" w:cs="Times New Roman"/>
                <w:sz w:val="20"/>
              </w:rPr>
              <w:t>8</w:t>
            </w:r>
          </w:p>
        </w:tc>
        <w:tc>
          <w:tcPr>
            <w:tcW w:w="1441"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eastAsia="MS Mincho" w:hAnsi="Times New Roman" w:cs="Times New Roman"/>
                <w:sz w:val="20"/>
              </w:rPr>
              <w:t>1</w:t>
            </w:r>
          </w:p>
        </w:tc>
        <w:tc>
          <w:tcPr>
            <w:tcW w:w="1209"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eastAsia="MS Mincho" w:hAnsi="Times New Roman" w:cs="Times New Roman"/>
                <w:sz w:val="20"/>
              </w:rPr>
              <w:t>4</w:t>
            </w:r>
          </w:p>
        </w:tc>
        <w:tc>
          <w:tcPr>
            <w:tcW w:w="1320" w:type="dxa"/>
            <w:vAlign w:val="center"/>
          </w:tcPr>
          <w:p w:rsidR="00C44233" w:rsidRDefault="005C67B5">
            <w:pPr>
              <w:snapToGrid w:val="0"/>
              <w:spacing w:after="0" w:line="240" w:lineRule="auto"/>
              <w:jc w:val="center"/>
              <w:rPr>
                <w:rFonts w:ascii="Times New Roman" w:eastAsia="MS Mincho" w:hAnsi="Times New Roman" w:cs="Times New Roman"/>
                <w:sz w:val="20"/>
              </w:rPr>
            </w:pPr>
            <w:r>
              <w:rPr>
                <w:rFonts w:ascii="Times New Roman" w:eastAsia="MS Mincho" w:hAnsi="Times New Roman" w:cs="Times New Roman"/>
                <w:sz w:val="20"/>
              </w:rPr>
              <w:t>40</w:t>
            </w:r>
          </w:p>
        </w:tc>
      </w:tr>
      <w:tr w:rsidR="00C44233" w:rsidTr="005C67B5">
        <w:trPr>
          <w:trHeight w:val="435"/>
          <w:jc w:val="center"/>
        </w:trPr>
        <w:tc>
          <w:tcPr>
            <w:tcW w:w="3254" w:type="dxa"/>
            <w:tcBorders>
              <w:top w:val="single" w:sz="4" w:space="0" w:color="auto"/>
            </w:tcBorders>
            <w:vAlign w:val="center"/>
          </w:tcPr>
          <w:p w:rsidR="00C44233" w:rsidRDefault="005C67B5">
            <w:pPr>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SIB reading for ephemeris Option 1</w:t>
            </w:r>
          </w:p>
        </w:tc>
        <w:tc>
          <w:tcPr>
            <w:tcW w:w="885"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Rx</w:t>
            </w:r>
          </w:p>
        </w:tc>
        <w:tc>
          <w:tcPr>
            <w:tcW w:w="1095"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eastAsia="宋体" w:hAnsi="Times New Roman" w:cs="Times New Roman"/>
                <w:sz w:val="20"/>
              </w:rPr>
              <w:t>52</w:t>
            </w:r>
          </w:p>
        </w:tc>
        <w:tc>
          <w:tcPr>
            <w:tcW w:w="1441"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6</w:t>
            </w:r>
            <w:r>
              <w:rPr>
                <w:rStyle w:val="ab"/>
                <w:rFonts w:ascii="Times New Roman" w:hAnsi="Times New Roman" w:cs="Times New Roman" w:hint="eastAsia"/>
                <w:sz w:val="20"/>
              </w:rPr>
              <w:t>.5</w:t>
            </w:r>
            <w:r>
              <w:rPr>
                <w:rFonts w:ascii="Times New Roman" w:hAnsi="Times New Roman" w:cs="Times New Roman"/>
                <w:sz w:val="20"/>
              </w:rPr>
              <w:t>(0.585mJ)</w:t>
            </w:r>
          </w:p>
        </w:tc>
        <w:tc>
          <w:tcPr>
            <w:tcW w:w="1209"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2</w:t>
            </w:r>
            <w:r>
              <w:rPr>
                <w:rFonts w:ascii="Times New Roman" w:hAnsi="Times New Roman" w:cs="Times New Roman" w:hint="eastAsia"/>
                <w:sz w:val="20"/>
              </w:rPr>
              <w:t>6</w:t>
            </w:r>
            <w:r>
              <w:rPr>
                <w:rFonts w:ascii="Times New Roman" w:hAnsi="Times New Roman" w:cs="Times New Roman"/>
                <w:sz w:val="20"/>
              </w:rPr>
              <w:t>(2.34mJ)</w:t>
            </w:r>
          </w:p>
        </w:tc>
        <w:tc>
          <w:tcPr>
            <w:tcW w:w="1320"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2</w:t>
            </w:r>
            <w:r>
              <w:rPr>
                <w:rFonts w:ascii="Times New Roman" w:hAnsi="Times New Roman" w:cs="Times New Roman" w:hint="eastAsia"/>
                <w:sz w:val="20"/>
              </w:rPr>
              <w:t>60</w:t>
            </w:r>
            <w:r>
              <w:rPr>
                <w:rFonts w:ascii="Times New Roman" w:hAnsi="Times New Roman" w:cs="Times New Roman"/>
                <w:sz w:val="20"/>
              </w:rPr>
              <w:t>(23.4mJ)</w:t>
            </w:r>
          </w:p>
        </w:tc>
      </w:tr>
      <w:tr w:rsidR="00C44233" w:rsidTr="005C67B5">
        <w:trPr>
          <w:trHeight w:val="435"/>
          <w:jc w:val="center"/>
        </w:trPr>
        <w:tc>
          <w:tcPr>
            <w:tcW w:w="3254" w:type="dxa"/>
            <w:tcBorders>
              <w:top w:val="single" w:sz="4" w:space="0" w:color="auto"/>
            </w:tcBorders>
            <w:vAlign w:val="center"/>
          </w:tcPr>
          <w:p w:rsidR="00C44233" w:rsidRDefault="005C67B5">
            <w:pPr>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SIB reading for ephemeris Option 2</w:t>
            </w:r>
          </w:p>
        </w:tc>
        <w:tc>
          <w:tcPr>
            <w:tcW w:w="885"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Rx</w:t>
            </w:r>
          </w:p>
        </w:tc>
        <w:tc>
          <w:tcPr>
            <w:tcW w:w="1095"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16</w:t>
            </w:r>
          </w:p>
        </w:tc>
        <w:tc>
          <w:tcPr>
            <w:tcW w:w="1441"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2(0.18mJ)</w:t>
            </w:r>
          </w:p>
        </w:tc>
        <w:tc>
          <w:tcPr>
            <w:tcW w:w="1209"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8(0.72mJ)</w:t>
            </w:r>
          </w:p>
        </w:tc>
        <w:tc>
          <w:tcPr>
            <w:tcW w:w="1320" w:type="dxa"/>
            <w:vAlign w:val="center"/>
          </w:tcPr>
          <w:p w:rsidR="00C44233" w:rsidRDefault="005C67B5">
            <w:pPr>
              <w:snapToGrid w:val="0"/>
              <w:spacing w:after="0" w:line="240" w:lineRule="auto"/>
              <w:jc w:val="center"/>
              <w:rPr>
                <w:rFonts w:ascii="Times New Roman" w:eastAsia="宋体" w:hAnsi="Times New Roman" w:cs="Times New Roman"/>
                <w:sz w:val="20"/>
              </w:rPr>
            </w:pPr>
            <w:r>
              <w:rPr>
                <w:rFonts w:ascii="Times New Roman" w:hAnsi="Times New Roman" w:cs="Times New Roman"/>
                <w:sz w:val="20"/>
              </w:rPr>
              <w:t>80(7.2mJ)</w:t>
            </w:r>
          </w:p>
        </w:tc>
      </w:tr>
    </w:tbl>
    <w:p w:rsidR="00C44233" w:rsidRDefault="005C67B5">
      <w:pPr>
        <w:spacing w:beforeLines="50" w:before="120" w:line="26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hint="eastAsia"/>
          <w:bCs/>
          <w:i/>
          <w:sz w:val="20"/>
          <w:szCs w:val="20"/>
        </w:rPr>
        <w:t>The power consumption of SIB reading for ephemeris Option 2 is significantly less than that of the Option 1.</w:t>
      </w:r>
    </w:p>
    <w:p w:rsidR="00C44233" w:rsidRDefault="005C67B5">
      <w:pPr>
        <w:spacing w:beforeLines="50" w:before="120" w:line="260" w:lineRule="auto"/>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sidR="00724CFE">
        <w:rPr>
          <w:rFonts w:ascii="Times New Roman" w:hAnsi="Times New Roman" w:cs="Times New Roman"/>
          <w:b/>
          <w:i/>
          <w:sz w:val="20"/>
          <w:szCs w:val="20"/>
        </w:rPr>
        <w:t>7</w:t>
      </w:r>
      <w:r>
        <w:rPr>
          <w:rFonts w:ascii="Times New Roman" w:hAnsi="Times New Roman" w:cs="Times New Roman"/>
          <w:b/>
          <w:i/>
          <w:sz w:val="20"/>
          <w:szCs w:val="20"/>
        </w:rPr>
        <w:t xml:space="preserve">: </w:t>
      </w:r>
      <w:r w:rsidR="00EB6509">
        <w:rPr>
          <w:rFonts w:ascii="Times New Roman" w:hAnsi="Times New Roman" w:cs="Times New Roman"/>
          <w:bCs/>
          <w:i/>
          <w:sz w:val="20"/>
          <w:szCs w:val="20"/>
        </w:rPr>
        <w:t xml:space="preserve">Study on </w:t>
      </w:r>
      <w:r w:rsidRPr="005C67B5">
        <w:rPr>
          <w:rFonts w:ascii="Times New Roman" w:hAnsi="Times New Roman" w:cs="Times New Roman"/>
          <w:bCs/>
          <w:i/>
          <w:sz w:val="20"/>
          <w:szCs w:val="20"/>
        </w:rPr>
        <w:t>the frequency of SIB reading for ephemeris</w:t>
      </w:r>
      <w:r w:rsidR="00EB6509">
        <w:rPr>
          <w:rFonts w:ascii="Times New Roman" w:hAnsi="Times New Roman" w:cs="Times New Roman"/>
          <w:bCs/>
          <w:i/>
          <w:sz w:val="20"/>
          <w:szCs w:val="20"/>
        </w:rPr>
        <w:t xml:space="preserve"> should be considered</w:t>
      </w:r>
      <w:r w:rsidR="00724CFE">
        <w:rPr>
          <w:rFonts w:ascii="Times New Roman" w:hAnsi="Times New Roman" w:cs="Times New Roman"/>
          <w:bCs/>
          <w:i/>
          <w:sz w:val="20"/>
          <w:szCs w:val="20"/>
        </w:rPr>
        <w:t>.</w:t>
      </w:r>
    </w:p>
    <w:p w:rsidR="00C44233" w:rsidRPr="00082F9B" w:rsidRDefault="005C67B5">
      <w:pPr>
        <w:ind w:leftChars="200" w:left="440"/>
        <w:jc w:val="both"/>
        <w:rPr>
          <w:rFonts w:ascii="Times New Roman" w:hAnsi="Times New Roman" w:cs="Times New Roman"/>
          <w:iCs/>
          <w:sz w:val="20"/>
          <w:szCs w:val="20"/>
        </w:rPr>
      </w:pPr>
      <w:r>
        <w:rPr>
          <w:rFonts w:ascii="Times New Roman" w:hAnsi="Times New Roman" w:hint="eastAsia"/>
          <w:iCs/>
          <w:sz w:val="20"/>
          <w:szCs w:val="20"/>
        </w:rPr>
        <w:lastRenderedPageBreak/>
        <w:t>The power consumption of GNSS positioning is determined by the rated power of the GNSS chip and the positioning time. Suppos</w:t>
      </w:r>
      <w:r w:rsidR="00EB4908">
        <w:rPr>
          <w:rFonts w:ascii="Times New Roman" w:hAnsi="Times New Roman"/>
          <w:iCs/>
          <w:sz w:val="20"/>
          <w:szCs w:val="20"/>
        </w:rPr>
        <w:t>ing</w:t>
      </w:r>
      <w:r>
        <w:rPr>
          <w:rFonts w:ascii="Times New Roman" w:hAnsi="Times New Roman" w:hint="eastAsia"/>
          <w:iCs/>
          <w:sz w:val="20"/>
          <w:szCs w:val="20"/>
        </w:rPr>
        <w:t xml:space="preserve"> the rated power is 30mJ, the power consumption for positioning for hot start and warm start is </w:t>
      </w:r>
      <w:r w:rsidRPr="005C67B5">
        <w:rPr>
          <w:rFonts w:ascii="Times New Roman" w:hAnsi="Times New Roman" w:cs="Times New Roman"/>
          <w:iCs/>
          <w:sz w:val="20"/>
          <w:szCs w:val="20"/>
        </w:rPr>
        <w:t xml:space="preserve">as shown in </w:t>
      </w:r>
      <w:r w:rsidRPr="005C67B5">
        <w:rPr>
          <w:rFonts w:ascii="Times New Roman" w:hAnsi="Times New Roman" w:cs="Times New Roman"/>
          <w:iCs/>
          <w:sz w:val="20"/>
          <w:szCs w:val="20"/>
        </w:rPr>
        <w:fldChar w:fldCharType="begin"/>
      </w:r>
      <w:r w:rsidRPr="005C67B5">
        <w:rPr>
          <w:rFonts w:ascii="Times New Roman" w:hAnsi="Times New Roman" w:cs="Times New Roman"/>
          <w:iCs/>
          <w:sz w:val="20"/>
          <w:szCs w:val="20"/>
        </w:rPr>
        <w:instrText xml:space="preserve"> REF _Ref2318 \h </w:instrText>
      </w:r>
      <w:r w:rsidR="00082F9B" w:rsidRPr="005C67B5">
        <w:rPr>
          <w:rFonts w:ascii="Times New Roman" w:hAnsi="Times New Roman" w:cs="Times New Roman"/>
          <w:iCs/>
          <w:sz w:val="20"/>
          <w:szCs w:val="20"/>
        </w:rPr>
        <w:instrText xml:space="preserve"> \* MERGEFORMAT </w:instrText>
      </w:r>
      <w:r w:rsidRPr="005C67B5">
        <w:rPr>
          <w:rFonts w:ascii="Times New Roman" w:hAnsi="Times New Roman" w:cs="Times New Roman"/>
          <w:iCs/>
          <w:sz w:val="20"/>
          <w:szCs w:val="20"/>
        </w:rPr>
      </w:r>
      <w:r w:rsidRPr="005C67B5">
        <w:rPr>
          <w:rFonts w:ascii="Times New Roman" w:hAnsi="Times New Roman" w:cs="Times New Roman"/>
          <w:iCs/>
          <w:sz w:val="20"/>
          <w:szCs w:val="20"/>
        </w:rPr>
        <w:fldChar w:fldCharType="separate"/>
      </w:r>
      <w:r w:rsidRPr="005C67B5">
        <w:rPr>
          <w:rFonts w:ascii="Times New Roman" w:hAnsi="Times New Roman" w:cs="Times New Roman"/>
          <w:sz w:val="20"/>
          <w:szCs w:val="20"/>
        </w:rPr>
        <w:t>Table 3</w:t>
      </w:r>
      <w:r w:rsidRPr="005C67B5">
        <w:rPr>
          <w:rFonts w:ascii="Times New Roman" w:hAnsi="Times New Roman" w:cs="Times New Roman"/>
          <w:iCs/>
          <w:sz w:val="20"/>
          <w:szCs w:val="20"/>
        </w:rPr>
        <w:fldChar w:fldCharType="end"/>
      </w:r>
      <w:r w:rsidRPr="005C67B5">
        <w:rPr>
          <w:rFonts w:ascii="Times New Roman" w:hAnsi="Times New Roman" w:cs="Times New Roman"/>
          <w:iCs/>
          <w:sz w:val="20"/>
          <w:szCs w:val="20"/>
        </w:rPr>
        <w:t>.</w:t>
      </w:r>
    </w:p>
    <w:p w:rsidR="00C44233" w:rsidRPr="005C67B5" w:rsidRDefault="005C67B5" w:rsidP="005C67B5">
      <w:pPr>
        <w:pStyle w:val="a3"/>
        <w:rPr>
          <w:b w:val="0"/>
        </w:rPr>
      </w:pPr>
      <w:bookmarkStart w:id="7" w:name="_Ref2318"/>
      <w:r w:rsidRPr="005C67B5">
        <w:rPr>
          <w:b w:val="0"/>
        </w:rPr>
        <w:t xml:space="preserve">Table </w:t>
      </w:r>
      <w:r w:rsidRPr="005C67B5">
        <w:rPr>
          <w:b w:val="0"/>
        </w:rPr>
        <w:fldChar w:fldCharType="begin"/>
      </w:r>
      <w:r w:rsidRPr="005C67B5">
        <w:rPr>
          <w:b w:val="0"/>
        </w:rPr>
        <w:instrText xml:space="preserve"> SEQ Table \* ARABIC </w:instrText>
      </w:r>
      <w:r w:rsidRPr="005C67B5">
        <w:rPr>
          <w:b w:val="0"/>
        </w:rPr>
        <w:fldChar w:fldCharType="separate"/>
      </w:r>
      <w:r w:rsidRPr="005C67B5">
        <w:rPr>
          <w:b w:val="0"/>
        </w:rPr>
        <w:t>3</w:t>
      </w:r>
      <w:r w:rsidRPr="005C67B5">
        <w:rPr>
          <w:b w:val="0"/>
        </w:rPr>
        <w:fldChar w:fldCharType="end"/>
      </w:r>
      <w:bookmarkEnd w:id="7"/>
      <w:r w:rsidRPr="005C67B5">
        <w:rPr>
          <w:b w:val="0"/>
          <w:lang w:val="en-US"/>
        </w:rPr>
        <w:t xml:space="preserve"> Power consumption of GNSS positioning</w:t>
      </w:r>
    </w:p>
    <w:tbl>
      <w:tblPr>
        <w:tblStyle w:val="aa"/>
        <w:tblW w:w="8504" w:type="dxa"/>
        <w:jc w:val="center"/>
        <w:tblLayout w:type="fixed"/>
        <w:tblLook w:val="04A0" w:firstRow="1" w:lastRow="0" w:firstColumn="1" w:lastColumn="0" w:noHBand="0" w:noVBand="1"/>
      </w:tblPr>
      <w:tblGrid>
        <w:gridCol w:w="1964"/>
        <w:gridCol w:w="1734"/>
        <w:gridCol w:w="1602"/>
        <w:gridCol w:w="1602"/>
        <w:gridCol w:w="1602"/>
      </w:tblGrid>
      <w:tr w:rsidR="00C44233" w:rsidTr="005C67B5">
        <w:trPr>
          <w:jc w:val="center"/>
        </w:trPr>
        <w:tc>
          <w:tcPr>
            <w:tcW w:w="2690" w:type="dxa"/>
          </w:tcPr>
          <w:p w:rsidR="00C44233" w:rsidRDefault="005C67B5">
            <w:pPr>
              <w:widowControl w:val="0"/>
              <w:jc w:val="center"/>
              <w:rPr>
                <w:rFonts w:ascii="Times New Roman" w:hAnsi="Times New Roman" w:cs="Times New Roman"/>
                <w:b/>
                <w:bCs/>
                <w:sz w:val="20"/>
                <w:szCs w:val="20"/>
              </w:rPr>
            </w:pPr>
            <w:r>
              <w:rPr>
                <w:rFonts w:ascii="Times New Roman" w:hAnsi="Times New Roman" w:cs="Times New Roman"/>
                <w:b/>
                <w:bCs/>
                <w:sz w:val="20"/>
                <w:szCs w:val="20"/>
              </w:rPr>
              <w:t>Chip Name</w:t>
            </w:r>
          </w:p>
        </w:tc>
        <w:tc>
          <w:tcPr>
            <w:tcW w:w="2362" w:type="dxa"/>
          </w:tcPr>
          <w:p w:rsidR="00C44233" w:rsidRDefault="005C67B5">
            <w:pPr>
              <w:widowControl w:val="0"/>
              <w:jc w:val="center"/>
              <w:rPr>
                <w:rFonts w:ascii="Times New Roman" w:hAnsi="Times New Roman" w:cs="Times New Roman"/>
                <w:b/>
                <w:bCs/>
                <w:sz w:val="20"/>
                <w:szCs w:val="20"/>
              </w:rPr>
            </w:pPr>
            <w:r>
              <w:rPr>
                <w:rFonts w:ascii="Times New Roman" w:hAnsi="Times New Roman" w:cs="Times New Roman" w:hint="eastAsia"/>
                <w:b/>
                <w:bCs/>
                <w:sz w:val="20"/>
                <w:szCs w:val="20"/>
              </w:rPr>
              <w:t>Warm Start</w:t>
            </w:r>
          </w:p>
        </w:tc>
        <w:tc>
          <w:tcPr>
            <w:tcW w:w="2175" w:type="dxa"/>
          </w:tcPr>
          <w:p w:rsidR="00C44233" w:rsidRDefault="005C67B5">
            <w:pPr>
              <w:widowControl w:val="0"/>
              <w:jc w:val="center"/>
              <w:rPr>
                <w:rFonts w:ascii="Times New Roman" w:hAnsi="Times New Roman" w:cs="Times New Roman"/>
                <w:b/>
                <w:bCs/>
                <w:sz w:val="20"/>
                <w:szCs w:val="20"/>
              </w:rPr>
            </w:pPr>
            <w:r>
              <w:rPr>
                <w:rFonts w:ascii="Times New Roman" w:hAnsi="Times New Roman" w:cs="Times New Roman" w:hint="eastAsia"/>
                <w:b/>
                <w:bCs/>
                <w:sz w:val="20"/>
                <w:szCs w:val="20"/>
              </w:rPr>
              <w:t>Power Consumption</w:t>
            </w:r>
          </w:p>
        </w:tc>
        <w:tc>
          <w:tcPr>
            <w:tcW w:w="2175" w:type="dxa"/>
          </w:tcPr>
          <w:p w:rsidR="00C44233" w:rsidRDefault="005C67B5">
            <w:pPr>
              <w:widowControl w:val="0"/>
              <w:jc w:val="center"/>
              <w:rPr>
                <w:rFonts w:ascii="Times New Roman" w:hAnsi="Times New Roman" w:cs="Times New Roman"/>
                <w:b/>
                <w:bCs/>
                <w:sz w:val="20"/>
                <w:szCs w:val="20"/>
              </w:rPr>
            </w:pPr>
            <w:r>
              <w:rPr>
                <w:rFonts w:ascii="Times New Roman" w:hAnsi="Times New Roman" w:cs="Times New Roman" w:hint="eastAsia"/>
                <w:b/>
                <w:bCs/>
                <w:sz w:val="20"/>
                <w:szCs w:val="20"/>
              </w:rPr>
              <w:t>Hot Start</w:t>
            </w:r>
          </w:p>
        </w:tc>
        <w:tc>
          <w:tcPr>
            <w:tcW w:w="2175" w:type="dxa"/>
          </w:tcPr>
          <w:p w:rsidR="00C44233" w:rsidRDefault="005C67B5">
            <w:pPr>
              <w:widowControl w:val="0"/>
              <w:jc w:val="center"/>
              <w:rPr>
                <w:rFonts w:ascii="Times New Roman" w:hAnsi="Times New Roman" w:cs="Times New Roman"/>
                <w:b/>
                <w:bCs/>
                <w:sz w:val="20"/>
                <w:szCs w:val="20"/>
              </w:rPr>
            </w:pPr>
            <w:r>
              <w:rPr>
                <w:rFonts w:ascii="Times New Roman" w:hAnsi="Times New Roman" w:cs="Times New Roman" w:hint="eastAsia"/>
                <w:b/>
                <w:bCs/>
                <w:sz w:val="20"/>
                <w:szCs w:val="20"/>
              </w:rPr>
              <w:t>Power Consumption</w:t>
            </w:r>
          </w:p>
        </w:tc>
      </w:tr>
      <w:tr w:rsidR="00C44233" w:rsidTr="005C67B5">
        <w:trPr>
          <w:jc w:val="center"/>
        </w:trPr>
        <w:tc>
          <w:tcPr>
            <w:tcW w:w="2690" w:type="dxa"/>
          </w:tcPr>
          <w:p w:rsidR="00C44233" w:rsidRDefault="005C67B5">
            <w:pPr>
              <w:widowControl w:val="0"/>
              <w:jc w:val="center"/>
              <w:rPr>
                <w:rFonts w:ascii="Times New Roman" w:hAnsi="Times New Roman" w:cs="Times New Roman"/>
                <w:sz w:val="20"/>
                <w:szCs w:val="20"/>
              </w:rPr>
            </w:pPr>
            <w:proofErr w:type="spellStart"/>
            <w:r>
              <w:rPr>
                <w:rFonts w:ascii="Times New Roman" w:hAnsi="Times New Roman" w:cs="Times New Roman" w:hint="eastAsia"/>
                <w:sz w:val="20"/>
                <w:szCs w:val="20"/>
              </w:rPr>
              <w:t>Erinome</w:t>
            </w:r>
            <w:proofErr w:type="spellEnd"/>
            <w:r>
              <w:rPr>
                <w:rFonts w:ascii="Times New Roman" w:hAnsi="Times New Roman" w:cs="Times New Roman" w:hint="eastAsia"/>
                <w:sz w:val="20"/>
                <w:szCs w:val="20"/>
              </w:rPr>
              <w:t>-II</w:t>
            </w:r>
          </w:p>
        </w:tc>
        <w:tc>
          <w:tcPr>
            <w:tcW w:w="2362"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28s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840mJ</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30mJ</w:t>
            </w:r>
          </w:p>
        </w:tc>
      </w:tr>
      <w:tr w:rsidR="00C44233" w:rsidTr="005C67B5">
        <w:trPr>
          <w:jc w:val="center"/>
        </w:trPr>
        <w:tc>
          <w:tcPr>
            <w:tcW w:w="2690"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GM-A023</w:t>
            </w:r>
          </w:p>
        </w:tc>
        <w:tc>
          <w:tcPr>
            <w:tcW w:w="2362"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30s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900mJ</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30mJ</w:t>
            </w:r>
          </w:p>
        </w:tc>
      </w:tr>
      <w:tr w:rsidR="00C44233" w:rsidTr="005C67B5">
        <w:trPr>
          <w:jc w:val="center"/>
        </w:trPr>
        <w:tc>
          <w:tcPr>
            <w:tcW w:w="2690"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SE868 V3</w:t>
            </w:r>
          </w:p>
        </w:tc>
        <w:tc>
          <w:tcPr>
            <w:tcW w:w="2362"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23s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690mJ</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1.1s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33mJ</w:t>
            </w:r>
          </w:p>
        </w:tc>
      </w:tr>
      <w:tr w:rsidR="00C44233" w:rsidTr="005C67B5">
        <w:trPr>
          <w:jc w:val="center"/>
        </w:trPr>
        <w:tc>
          <w:tcPr>
            <w:tcW w:w="2690"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A2235-H</w:t>
            </w:r>
          </w:p>
        </w:tc>
        <w:tc>
          <w:tcPr>
            <w:tcW w:w="2362"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32s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960mJ</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30mJ</w:t>
            </w:r>
          </w:p>
        </w:tc>
      </w:tr>
      <w:tr w:rsidR="00C44233" w:rsidTr="005C67B5">
        <w:trPr>
          <w:jc w:val="center"/>
        </w:trPr>
        <w:tc>
          <w:tcPr>
            <w:tcW w:w="2690"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FMP3312</w:t>
            </w:r>
          </w:p>
        </w:tc>
        <w:tc>
          <w:tcPr>
            <w:tcW w:w="2362"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33s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990mJ</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30mJ</w:t>
            </w:r>
          </w:p>
        </w:tc>
      </w:tr>
      <w:tr w:rsidR="00C44233" w:rsidTr="005C67B5">
        <w:trPr>
          <w:jc w:val="center"/>
        </w:trPr>
        <w:tc>
          <w:tcPr>
            <w:tcW w:w="2690"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MT3333</w:t>
            </w:r>
          </w:p>
        </w:tc>
        <w:tc>
          <w:tcPr>
            <w:tcW w:w="2362"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5s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150mJ</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1s</w:t>
            </w:r>
          </w:p>
        </w:tc>
        <w:tc>
          <w:tcPr>
            <w:tcW w:w="2175" w:type="dxa"/>
          </w:tcPr>
          <w:p w:rsidR="00C44233" w:rsidRDefault="005C67B5">
            <w:pPr>
              <w:widowControl w:val="0"/>
              <w:jc w:val="center"/>
              <w:rPr>
                <w:rFonts w:ascii="Times New Roman" w:hAnsi="Times New Roman" w:cs="Times New Roman"/>
                <w:sz w:val="20"/>
                <w:szCs w:val="20"/>
              </w:rPr>
            </w:pPr>
            <w:r>
              <w:rPr>
                <w:rFonts w:ascii="Times New Roman" w:hAnsi="Times New Roman" w:cs="Times New Roman" w:hint="eastAsia"/>
                <w:sz w:val="20"/>
                <w:szCs w:val="20"/>
              </w:rPr>
              <w:t>30mJ</w:t>
            </w:r>
          </w:p>
        </w:tc>
      </w:tr>
    </w:tbl>
    <w:p w:rsidR="00C44233" w:rsidRDefault="005C67B5" w:rsidP="005C67B5">
      <w:pPr>
        <w:spacing w:beforeLines="50" w:before="120"/>
        <w:ind w:left="420" w:firstLine="23"/>
        <w:jc w:val="both"/>
        <w:rPr>
          <w:rFonts w:ascii="Times New Roman" w:hAnsi="Times New Roman"/>
          <w:iCs/>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hAnsi="Times New Roman" w:cs="Times New Roman" w:hint="eastAsia"/>
          <w:bCs/>
          <w:i/>
          <w:sz w:val="20"/>
          <w:szCs w:val="20"/>
        </w:rPr>
        <w:t>The power consumption of GNSS positioning is much larger than that of the SIB reading for ephemeris Option 2.</w:t>
      </w:r>
    </w:p>
    <w:p w:rsidR="00C44233" w:rsidRDefault="005C67B5">
      <w:pPr>
        <w:pStyle w:val="a5"/>
        <w:ind w:leftChars="200" w:left="440"/>
        <w:rPr>
          <w:rFonts w:eastAsia="宋体"/>
          <w:lang w:val="en-US" w:eastAsia="zh-CN"/>
        </w:rPr>
      </w:pPr>
      <w:r>
        <w:rPr>
          <w:rFonts w:eastAsia="宋体" w:hint="eastAsia"/>
          <w:lang w:val="en-US" w:eastAsia="zh-CN"/>
        </w:rPr>
        <w:t>The error in pre-compensation is caused by estimation error of the position and velocity of the satellite and UE.</w:t>
      </w:r>
      <w:r>
        <w:rPr>
          <w:rFonts w:eastAsia="宋体"/>
          <w:lang w:val="en-US" w:eastAsia="zh-CN"/>
        </w:rPr>
        <w:t xml:space="preserve"> Assuming that</w:t>
      </w:r>
      <w:r>
        <w:rPr>
          <w:rFonts w:eastAsia="宋体" w:hint="eastAsia"/>
          <w:lang w:val="en-US" w:eastAsia="zh-CN"/>
        </w:rPr>
        <w:t xml:space="preserve"> a UE perform GNSS positioning in </w:t>
      </w:r>
      <w:r>
        <w:rPr>
          <w:rFonts w:eastAsia="宋体"/>
          <w:lang w:val="en-US" w:eastAsia="zh-CN"/>
        </w:rPr>
        <w:t>time</w:t>
      </w:r>
      <w:r>
        <w:rPr>
          <w:rFonts w:eastAsia="宋体" w:hint="eastAsia"/>
          <w:position w:val="-10"/>
          <w:lang w:val="en-US" w:eastAsia="zh-CN"/>
        </w:rPr>
        <w:object w:dxaOrig="200" w:dyaOrig="340" w14:anchorId="3F7712D9">
          <v:shape id="_x0000_i1026" type="#_x0000_t75" style="width:10pt;height:17.05pt" o:ole="">
            <v:imagedata r:id="rId11" o:title=""/>
          </v:shape>
          <o:OLEObject Type="Embed" ProgID="Equation.KSEE3" ShapeID="_x0000_i1026" DrawAspect="Content" ObjectID="_1679241677" r:id="rId12"/>
        </w:object>
      </w:r>
      <w:r>
        <w:rPr>
          <w:rFonts w:eastAsia="宋体" w:hint="eastAsia"/>
          <w:lang w:val="en-US" w:eastAsia="zh-CN"/>
        </w:rPr>
        <w:t xml:space="preserve">, and read the ephemeris parameters transmitted in </w:t>
      </w:r>
      <w:r>
        <w:rPr>
          <w:rFonts w:eastAsia="宋体"/>
          <w:lang w:val="en-US" w:eastAsia="zh-CN"/>
        </w:rPr>
        <w:t>time</w:t>
      </w:r>
      <w:r>
        <w:rPr>
          <w:rFonts w:eastAsia="宋体" w:hint="eastAsia"/>
          <w:position w:val="-10"/>
          <w:lang w:val="en-US" w:eastAsia="zh-CN"/>
        </w:rPr>
        <w:object w:dxaOrig="220" w:dyaOrig="340" w14:anchorId="16120374">
          <v:shape id="_x0000_i1027" type="#_x0000_t75" style="width:11.25pt;height:17.05pt" o:ole="">
            <v:imagedata r:id="rId13" o:title=""/>
          </v:shape>
          <o:OLEObject Type="Embed" ProgID="Equation.KSEE3" ShapeID="_x0000_i1027" DrawAspect="Content" ObjectID="_1679241678" r:id="rId14"/>
        </w:object>
      </w:r>
      <w:r>
        <w:rPr>
          <w:rFonts w:eastAsia="宋体" w:hint="eastAsia"/>
          <w:lang w:val="en-US" w:eastAsia="zh-CN"/>
        </w:rPr>
        <w:t>. Then</w:t>
      </w:r>
      <w:r>
        <w:rPr>
          <w:rFonts w:eastAsia="宋体"/>
          <w:lang w:val="en-US" w:eastAsia="zh-CN"/>
        </w:rPr>
        <w:t>,</w:t>
      </w:r>
      <w:r>
        <w:rPr>
          <w:rFonts w:eastAsia="宋体" w:hint="eastAsia"/>
          <w:lang w:val="en-US" w:eastAsia="zh-CN"/>
        </w:rPr>
        <w:t xml:space="preserve"> in time</w:t>
      </w:r>
      <w:r>
        <w:rPr>
          <w:rFonts w:eastAsia="宋体"/>
          <w:lang w:val="en-US" w:eastAsia="zh-CN"/>
        </w:rPr>
        <w:t xml:space="preserve"> instant</w:t>
      </w:r>
      <w:r>
        <w:rPr>
          <w:rFonts w:eastAsia="宋体" w:hint="eastAsia"/>
          <w:position w:val="-6"/>
          <w:lang w:val="en-US" w:eastAsia="zh-CN"/>
        </w:rPr>
        <w:object w:dxaOrig="140" w:dyaOrig="240" w14:anchorId="4B1CF433">
          <v:shape id="_x0000_i1028" type="#_x0000_t75" style="width:7.1pt;height:12.05pt" o:ole="">
            <v:imagedata r:id="rId15" o:title=""/>
          </v:shape>
          <o:OLEObject Type="Embed" ProgID="Equation.KSEE3" ShapeID="_x0000_i1028" DrawAspect="Content" ObjectID="_1679241679" r:id="rId16"/>
        </w:object>
      </w:r>
      <w:r>
        <w:rPr>
          <w:rFonts w:eastAsia="宋体"/>
          <w:lang w:val="en-US" w:eastAsia="zh-CN"/>
        </w:rPr>
        <w:t>,</w:t>
      </w:r>
      <w:r>
        <w:rPr>
          <w:rFonts w:eastAsia="宋体" w:hint="eastAsia"/>
          <w:lang w:val="en-US" w:eastAsia="zh-CN"/>
        </w:rPr>
        <w:t xml:space="preserve"> the total estimation error can be bounded by</w:t>
      </w:r>
    </w:p>
    <w:p w:rsidR="00C44233" w:rsidRDefault="005C67B5">
      <w:pPr>
        <w:ind w:firstLineChars="200" w:firstLine="440"/>
      </w:pPr>
      <w:r>
        <w:rPr>
          <w:position w:val="-14"/>
        </w:rPr>
        <w:object w:dxaOrig="8200" w:dyaOrig="380" w14:anchorId="02ACF0AE">
          <v:shape id="_x0000_i1029" type="#_x0000_t75" style="width:409.95pt;height:18.75pt" o:ole="">
            <v:imagedata r:id="rId17" o:title=""/>
          </v:shape>
          <o:OLEObject Type="Embed" ProgID="Equation.KSEE3" ShapeID="_x0000_i1029" DrawAspect="Content" ObjectID="_1679241680" r:id="rId18"/>
        </w:object>
      </w:r>
    </w:p>
    <w:p w:rsidR="00C44233" w:rsidRDefault="005C67B5">
      <w:pPr>
        <w:ind w:leftChars="200" w:left="440"/>
        <w:rPr>
          <w:position w:val="-14"/>
        </w:rPr>
      </w:pPr>
      <w:r>
        <w:rPr>
          <w:position w:val="-14"/>
        </w:rPr>
        <w:object w:dxaOrig="8140" w:dyaOrig="380" w14:anchorId="570B75C7">
          <v:shape id="_x0000_i1030" type="#_x0000_t75" style="width:407.05pt;height:18.75pt" o:ole="">
            <v:imagedata r:id="rId19" o:title=""/>
          </v:shape>
          <o:OLEObject Type="Embed" ProgID="Equation.KSEE3" ShapeID="_x0000_i1030" DrawAspect="Content" ObjectID="_1679241681" r:id="rId20"/>
        </w:object>
      </w:r>
      <w:r>
        <w:rPr>
          <w:rFonts w:hint="eastAsia"/>
          <w:position w:val="-14"/>
        </w:rPr>
        <w:t>,</w:t>
      </w:r>
    </w:p>
    <w:p w:rsidR="00C44233" w:rsidRDefault="005C67B5">
      <w:pPr>
        <w:ind w:leftChars="200" w:left="440"/>
        <w:rPr>
          <w:rFonts w:ascii="Times New Roman" w:eastAsia="宋体" w:hAnsi="Times New Roman" w:cs="Times New Roman"/>
          <w:sz w:val="20"/>
          <w:szCs w:val="20"/>
        </w:rPr>
      </w:pPr>
      <w:proofErr w:type="gramStart"/>
      <w:r>
        <w:rPr>
          <w:rFonts w:ascii="Times New Roman" w:eastAsia="宋体" w:hAnsi="Times New Roman" w:cs="Times New Roman" w:hint="eastAsia"/>
          <w:sz w:val="20"/>
          <w:szCs w:val="20"/>
        </w:rPr>
        <w:t>where</w:t>
      </w:r>
      <w:proofErr w:type="gramEnd"/>
      <w:r>
        <w:rPr>
          <w:rFonts w:ascii="Times New Roman" w:eastAsia="宋体" w:hAnsi="Times New Roman" w:cs="Times New Roman" w:hint="eastAsia"/>
          <w:sz w:val="20"/>
          <w:szCs w:val="20"/>
        </w:rPr>
        <w:t xml:space="preserve"> </w:t>
      </w:r>
      <w:r>
        <w:rPr>
          <w:rFonts w:hint="eastAsia"/>
          <w:position w:val="-14"/>
        </w:rPr>
        <w:object w:dxaOrig="860" w:dyaOrig="380" w14:anchorId="708AD1D6">
          <v:shape id="_x0000_i1031" type="#_x0000_t75" style="width:43.3pt;height:18.75pt" o:ole="">
            <v:imagedata r:id="rId21" o:title=""/>
          </v:shape>
          <o:OLEObject Type="Embed" ProgID="Equation.KSEE3" ShapeID="_x0000_i1031" DrawAspect="Content" ObjectID="_1679241682" r:id="rId22"/>
        </w:object>
      </w:r>
      <w:r>
        <w:rPr>
          <w:rFonts w:hint="eastAsia"/>
          <w:position w:val="-14"/>
        </w:rPr>
        <w:t xml:space="preserve"> </w:t>
      </w:r>
      <w:r>
        <w:rPr>
          <w:rFonts w:ascii="Times New Roman" w:eastAsia="宋体" w:hAnsi="Times New Roman" w:cs="Times New Roman" w:hint="eastAsia"/>
          <w:sz w:val="20"/>
          <w:szCs w:val="20"/>
        </w:rPr>
        <w:t xml:space="preserve">and </w:t>
      </w:r>
      <w:r>
        <w:rPr>
          <w:rFonts w:hint="eastAsia"/>
          <w:position w:val="-14"/>
        </w:rPr>
        <w:object w:dxaOrig="1140" w:dyaOrig="380" w14:anchorId="66674481">
          <v:shape id="_x0000_i1032" type="#_x0000_t75" style="width:57pt;height:18.75pt" o:ole="">
            <v:imagedata r:id="rId23" o:title=""/>
          </v:shape>
          <o:OLEObject Type="Embed" ProgID="Equation.KSEE3" ShapeID="_x0000_i1032" DrawAspect="Content" ObjectID="_1679241683" r:id="rId24"/>
        </w:object>
      </w:r>
      <w:r>
        <w:rPr>
          <w:rFonts w:hint="eastAsia"/>
          <w:position w:val="-14"/>
        </w:rPr>
        <w:t xml:space="preserve"> </w:t>
      </w:r>
      <w:r>
        <w:rPr>
          <w:rFonts w:ascii="Times New Roman" w:eastAsia="宋体" w:hAnsi="Times New Roman" w:cs="Times New Roman" w:hint="eastAsia"/>
          <w:sz w:val="20"/>
          <w:szCs w:val="20"/>
        </w:rPr>
        <w:t xml:space="preserve">denote the inaccuracy in GNSS positioning and indicated satellite position, which are bounded by GNSS chip capability and resolution of indicated ephemeris, respectively. The </w:t>
      </w:r>
      <w:r>
        <w:rPr>
          <w:rFonts w:ascii="Times New Roman" w:eastAsia="宋体" w:hAnsi="Times New Roman" w:cs="Times New Roman" w:hint="eastAsia"/>
          <w:position w:val="-14"/>
          <w:sz w:val="20"/>
          <w:szCs w:val="20"/>
        </w:rPr>
        <w:object w:dxaOrig="1160" w:dyaOrig="380" w14:anchorId="66CDA7F0">
          <v:shape id="_x0000_i1033" type="#_x0000_t75" style="width:58.25pt;height:18.75pt" o:ole="">
            <v:imagedata r:id="rId25" o:title=""/>
          </v:shape>
          <o:OLEObject Type="Embed" ProgID="Equation.KSEE3" ShapeID="_x0000_i1033" DrawAspect="Content" ObjectID="_1679241684" r:id="rId26"/>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4"/>
          <w:sz w:val="20"/>
          <w:szCs w:val="20"/>
        </w:rPr>
        <w:object w:dxaOrig="1260" w:dyaOrig="380" w14:anchorId="3A4424B7">
          <v:shape id="_x0000_i1034" type="#_x0000_t75" style="width:63.25pt;height:18.75pt" o:ole="">
            <v:imagedata r:id="rId27" o:title=""/>
          </v:shape>
          <o:OLEObject Type="Embed" ProgID="Equation.KSEE3" ShapeID="_x0000_i1034" DrawAspect="Content" ObjectID="_1679241685" r:id="rId28"/>
        </w:object>
      </w:r>
      <w:r>
        <w:rPr>
          <w:rFonts w:ascii="Times New Roman" w:eastAsia="宋体" w:hAnsi="Times New Roman" w:cs="Times New Roman" w:hint="eastAsia"/>
          <w:sz w:val="20"/>
          <w:szCs w:val="20"/>
        </w:rPr>
        <w:t xml:space="preserve">are the error in propagation for the position of UE and satellite, which are generally proportional to the </w:t>
      </w:r>
      <w:proofErr w:type="gramStart"/>
      <w:r>
        <w:rPr>
          <w:rFonts w:ascii="Times New Roman" w:eastAsia="宋体" w:hAnsi="Times New Roman" w:cs="Times New Roman"/>
          <w:sz w:val="20"/>
          <w:szCs w:val="20"/>
        </w:rPr>
        <w:t>time</w:t>
      </w:r>
      <w:r>
        <w:rPr>
          <w:rFonts w:ascii="Times New Roman" w:eastAsia="宋体" w:hAnsi="Times New Roman" w:cs="Times New Roman" w:hint="eastAsia"/>
          <w:sz w:val="20"/>
          <w:szCs w:val="20"/>
        </w:rPr>
        <w:t xml:space="preserve"> </w:t>
      </w:r>
      <w:proofErr w:type="gramEnd"/>
      <w:r>
        <w:rPr>
          <w:rFonts w:eastAsia="宋体" w:cs="Times New Roman" w:hint="eastAsia"/>
          <w:position w:val="-6"/>
          <w:sz w:val="20"/>
          <w:szCs w:val="20"/>
        </w:rPr>
        <w:object w:dxaOrig="140" w:dyaOrig="240" w14:anchorId="7436A812">
          <v:shape id="_x0000_i1035" type="#_x0000_t75" style="width:7.1pt;height:12.05pt" o:ole="">
            <v:imagedata r:id="rId15" o:title=""/>
          </v:shape>
          <o:OLEObject Type="Embed" ProgID="Equation.KSEE3" ShapeID="_x0000_i1035" DrawAspect="Content" ObjectID="_1679241686" r:id="rId29"/>
        </w:object>
      </w:r>
      <w:r>
        <w:rPr>
          <w:rFonts w:ascii="Times New Roman" w:eastAsia="宋体" w:hAnsi="Times New Roman" w:cs="Times New Roman" w:hint="eastAsia"/>
          <w:sz w:val="20"/>
          <w:szCs w:val="20"/>
        </w:rPr>
        <w:t xml:space="preserve">. The notation is similar for the error in velocity estimation. In order to ensure UL synchronization, the total estimation error should satisfies the UL requirements as is analyzed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_Ref12729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When the error in propagation increases and exceeds the UL requirements, the previous GNSS positioning or SIB reading becomes invalid. The validation time of GNSS can be estimated according to the UE movement model and the propagation algorithm.</w:t>
      </w:r>
    </w:p>
    <w:p w:rsidR="00C44233" w:rsidRDefault="005C67B5">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the typical IoT case, t</w:t>
      </w:r>
      <w:r>
        <w:rPr>
          <w:rFonts w:ascii="Times New Roman" w:eastAsia="宋体" w:hAnsi="Times New Roman" w:cs="Times New Roman" w:hint="eastAsia"/>
          <w:sz w:val="20"/>
          <w:szCs w:val="20"/>
        </w:rPr>
        <w:t xml:space="preserve">he UL transmission of a UE </w:t>
      </w:r>
      <w:r>
        <w:rPr>
          <w:rFonts w:ascii="Times New Roman" w:eastAsia="宋体" w:hAnsi="Times New Roman" w:cs="Times New Roman"/>
          <w:sz w:val="20"/>
          <w:szCs w:val="20"/>
        </w:rPr>
        <w:t xml:space="preserve">mainly </w:t>
      </w:r>
      <w:r>
        <w:rPr>
          <w:rFonts w:ascii="Times New Roman" w:eastAsia="宋体" w:hAnsi="Times New Roman" w:cs="Times New Roman" w:hint="eastAsia"/>
          <w:sz w:val="20"/>
          <w:szCs w:val="20"/>
        </w:rPr>
        <w:t>consists of periodic and aperiodic UL transmission, e.g., periodic UL report and PUSCH triggered by PDCCH</w:t>
      </w:r>
      <w:r>
        <w:rPr>
          <w:rFonts w:ascii="Times New Roman" w:eastAsia="宋体" w:hAnsi="Times New Roman" w:cs="Times New Roman"/>
          <w:sz w:val="20"/>
          <w:szCs w:val="20"/>
        </w:rPr>
        <w:t xml:space="preserve"> or PRACH</w:t>
      </w:r>
      <w:r>
        <w:rPr>
          <w:rFonts w:ascii="Times New Roman" w:eastAsia="宋体" w:hAnsi="Times New Roman" w:cs="Times New Roman" w:hint="eastAsia"/>
          <w:sz w:val="20"/>
          <w:szCs w:val="20"/>
        </w:rPr>
        <w:t xml:space="preserve">. For the periodic UL transmission, the total power consumption for UL synchronization is </w:t>
      </w:r>
      <w:r>
        <w:rPr>
          <w:rFonts w:ascii="Times New Roman" w:eastAsia="宋体" w:hAnsi="Times New Roman" w:cs="Times New Roman"/>
          <w:sz w:val="20"/>
          <w:szCs w:val="20"/>
        </w:rPr>
        <w:t>easily</w:t>
      </w:r>
      <w:r>
        <w:rPr>
          <w:rFonts w:ascii="Times New Roman" w:eastAsia="宋体" w:hAnsi="Times New Roman" w:cs="Times New Roman" w:hint="eastAsia"/>
          <w:sz w:val="20"/>
          <w:szCs w:val="20"/>
        </w:rPr>
        <w:t xml:space="preserve"> to be estimated based on the validation time of the GNSS positioning and SIB reading. </w:t>
      </w:r>
      <w:r>
        <w:rPr>
          <w:rFonts w:ascii="Times New Roman" w:eastAsia="宋体" w:hAnsi="Times New Roman" w:cs="Times New Roman"/>
          <w:sz w:val="20"/>
          <w:szCs w:val="20"/>
        </w:rPr>
        <w:t>The potential conflicts between the occasion for GNSS measurement and data delivering/reception may can be avoided by scheduling.</w:t>
      </w:r>
    </w:p>
    <w:p w:rsidR="00967200" w:rsidRDefault="005C67B5" w:rsidP="005C67B5">
      <w:pPr>
        <w:keepNext/>
        <w:ind w:leftChars="200" w:left="440"/>
      </w:pPr>
      <w:r>
        <w:rPr>
          <w:noProof/>
        </w:rPr>
        <w:lastRenderedPageBreak/>
        <w:drawing>
          <wp:inline distT="0" distB="0" distL="114300" distR="114300">
            <wp:extent cx="5261610" cy="1703070"/>
            <wp:effectExtent l="0" t="0" r="1524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0"/>
                    <a:stretch>
                      <a:fillRect/>
                    </a:stretch>
                  </pic:blipFill>
                  <pic:spPr>
                    <a:xfrm>
                      <a:off x="0" y="0"/>
                      <a:ext cx="5261610" cy="1703070"/>
                    </a:xfrm>
                    <a:prstGeom prst="rect">
                      <a:avLst/>
                    </a:prstGeom>
                    <a:noFill/>
                    <a:ln>
                      <a:noFill/>
                    </a:ln>
                  </pic:spPr>
                </pic:pic>
              </a:graphicData>
            </a:graphic>
          </wp:inline>
        </w:drawing>
      </w:r>
    </w:p>
    <w:p w:rsidR="00967200" w:rsidRPr="005C67B5" w:rsidRDefault="00967200" w:rsidP="00967200">
      <w:pPr>
        <w:pStyle w:val="a3"/>
        <w:rPr>
          <w:b w:val="0"/>
        </w:rPr>
      </w:pPr>
      <w:bookmarkStart w:id="8" w:name="_Ref68105666"/>
      <w:r w:rsidRPr="005C67B5">
        <w:rPr>
          <w:b w:val="0"/>
        </w:rPr>
        <w:t xml:space="preserve">Figure </w:t>
      </w:r>
      <w:r w:rsidRPr="005C67B5">
        <w:rPr>
          <w:b w:val="0"/>
        </w:rPr>
        <w:fldChar w:fldCharType="begin"/>
      </w:r>
      <w:r w:rsidRPr="005C67B5">
        <w:rPr>
          <w:b w:val="0"/>
        </w:rPr>
        <w:instrText xml:space="preserve"> SEQ Figure \* ARABIC </w:instrText>
      </w:r>
      <w:r w:rsidRPr="005C67B5">
        <w:rPr>
          <w:b w:val="0"/>
        </w:rPr>
        <w:fldChar w:fldCharType="separate"/>
      </w:r>
      <w:r w:rsidRPr="005C67B5">
        <w:rPr>
          <w:b w:val="0"/>
          <w:noProof/>
        </w:rPr>
        <w:t>2</w:t>
      </w:r>
      <w:r w:rsidRPr="005C67B5">
        <w:rPr>
          <w:b w:val="0"/>
        </w:rPr>
        <w:fldChar w:fldCharType="end"/>
      </w:r>
      <w:bookmarkEnd w:id="8"/>
      <w:r w:rsidRPr="005C67B5">
        <w:rPr>
          <w:b w:val="0"/>
        </w:rPr>
        <w:t xml:space="preserve"> Illustration on </w:t>
      </w:r>
      <w:r w:rsidRPr="00967200">
        <w:rPr>
          <w:rFonts w:hint="eastAsia"/>
          <w:b w:val="0"/>
          <w:bCs w:val="0"/>
          <w:lang w:val="en-US"/>
        </w:rPr>
        <w:t xml:space="preserve">Time gap for GNSS </w:t>
      </w:r>
      <w:r w:rsidRPr="00967200">
        <w:rPr>
          <w:b w:val="0"/>
          <w:bCs w:val="0"/>
          <w:lang w:val="en-US"/>
        </w:rPr>
        <w:t>measurement.</w:t>
      </w:r>
    </w:p>
    <w:p w:rsidR="00E13C75" w:rsidRDefault="00E13C75" w:rsidP="00E13C75">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However, it is more complex for the aperiodic UL transmission. The distribution of time interval between two aperiodic UL transmissions can be derived based on traffic model. Suppos</w:t>
      </w:r>
      <w:r>
        <w:rPr>
          <w:rFonts w:ascii="Times New Roman" w:eastAsia="宋体" w:hAnsi="Times New Roman" w:cs="Times New Roman"/>
          <w:sz w:val="20"/>
          <w:szCs w:val="20"/>
        </w:rPr>
        <w:t>ing that</w:t>
      </w:r>
      <w:r>
        <w:rPr>
          <w:rFonts w:ascii="Times New Roman" w:eastAsia="宋体" w:hAnsi="Times New Roman" w:cs="Times New Roman" w:hint="eastAsia"/>
          <w:sz w:val="20"/>
          <w:szCs w:val="20"/>
        </w:rPr>
        <w:t xml:space="preserve"> the time interval is generally significantly longer than the validation time of GNSS positioning, the UE may be configured to perform GNSS positioning for every UL transmission. In order to save power, a UE should perform GNSS only when needed, </w:t>
      </w:r>
      <w:r>
        <w:rPr>
          <w:rFonts w:ascii="Times New Roman" w:eastAsia="宋体" w:hAnsi="Times New Roman" w:cs="Times New Roman"/>
          <w:sz w:val="20"/>
          <w:szCs w:val="20"/>
        </w:rPr>
        <w:t>i.e.</w:t>
      </w:r>
      <w:r>
        <w:rPr>
          <w:rFonts w:ascii="Times New Roman" w:eastAsia="宋体" w:hAnsi="Times New Roman" w:cs="Times New Roman" w:hint="eastAsia"/>
          <w:sz w:val="20"/>
          <w:szCs w:val="20"/>
        </w:rPr>
        <w:t xml:space="preserve">, when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UL signal</w:t>
      </w:r>
      <w:r>
        <w:rPr>
          <w:rFonts w:ascii="Times New Roman" w:eastAsia="宋体" w:hAnsi="Times New Roman" w:cs="Times New Roman"/>
          <w:sz w:val="20"/>
          <w:szCs w:val="20"/>
        </w:rPr>
        <w:t xml:space="preserve"> transmission is needed after waking up as illustrated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_Ref68105666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034DA2">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However, </w:t>
      </w:r>
      <w:r>
        <w:rPr>
          <w:rFonts w:ascii="Times New Roman" w:eastAsia="宋体" w:hAnsi="Times New Roman" w:cs="Times New Roman"/>
          <w:sz w:val="20"/>
          <w:szCs w:val="20"/>
        </w:rPr>
        <w:t>if</w:t>
      </w:r>
      <w:r>
        <w:rPr>
          <w:rFonts w:ascii="Times New Roman" w:eastAsia="宋体" w:hAnsi="Times New Roman" w:cs="Times New Roman" w:hint="eastAsia"/>
          <w:sz w:val="20"/>
          <w:szCs w:val="20"/>
        </w:rPr>
        <w:t xml:space="preserve"> the UL transmission is triggered by PDCCH, the UE cannot predict when the UL transmission happens before the reception of PDCCH. So the GNSS positioning can only happen after the PDCCH and before the PUSCH</w:t>
      </w:r>
      <w:r>
        <w:rPr>
          <w:rFonts w:ascii="Times New Roman" w:eastAsia="宋体" w:hAnsi="Times New Roman" w:cs="Times New Roman"/>
          <w:sz w:val="20"/>
          <w:szCs w:val="20"/>
        </w:rPr>
        <w:t xml:space="preserve">, and the additional gap </w:t>
      </w:r>
      <w:r>
        <w:rPr>
          <w:rFonts w:ascii="Times New Roman" w:eastAsia="宋体" w:hAnsi="Times New Roman" w:cs="Times New Roman" w:hint="eastAsia"/>
          <w:sz w:val="20"/>
          <w:szCs w:val="20"/>
        </w:rPr>
        <w:t xml:space="preserve">between the PDCCH and possible triggered UL transmission </w:t>
      </w:r>
      <w:r>
        <w:rPr>
          <w:rFonts w:ascii="Times New Roman" w:eastAsia="宋体" w:hAnsi="Times New Roman" w:cs="Times New Roman"/>
          <w:sz w:val="20"/>
          <w:szCs w:val="20"/>
        </w:rPr>
        <w:t xml:space="preserve">may be needed for synchronization including GNSS measurement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_Ref3108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_Ref3115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rsidR="00C44233" w:rsidRDefault="005C67B5">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If the time interval between two aperiodic UL transmission has a considerable probability to be smaller than the validation time of GNSS positioning, the signalling can be further optimized for power saving. </w:t>
      </w:r>
    </w:p>
    <w:p w:rsidR="00C44233" w:rsidRDefault="005C67B5">
      <w:pPr>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sidR="00724CFE">
        <w:rPr>
          <w:rFonts w:ascii="Times New Roman" w:hAnsi="Times New Roman" w:cs="Times New Roman"/>
          <w:b/>
          <w:i/>
          <w:sz w:val="20"/>
          <w:szCs w:val="20"/>
        </w:rPr>
        <w:t>8</w:t>
      </w:r>
      <w:r>
        <w:rPr>
          <w:rFonts w:ascii="Times New Roman" w:hAnsi="Times New Roman" w:cs="Times New Roman"/>
          <w:b/>
          <w:i/>
          <w:sz w:val="20"/>
          <w:szCs w:val="20"/>
        </w:rPr>
        <w:t xml:space="preserve">: </w:t>
      </w:r>
      <w:r>
        <w:rPr>
          <w:rFonts w:ascii="Times New Roman" w:hAnsi="Times New Roman" w:cs="Times New Roman" w:hint="eastAsia"/>
          <w:bCs/>
          <w:i/>
          <w:sz w:val="20"/>
          <w:szCs w:val="20"/>
        </w:rPr>
        <w:t>Study the configuration of time gap for GNSS positioning.</w:t>
      </w:r>
    </w:p>
    <w:p w:rsidR="00C44233" w:rsidRDefault="005C67B5">
      <w:pPr>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sidR="00724CFE">
        <w:rPr>
          <w:rFonts w:ascii="Times New Roman" w:hAnsi="Times New Roman" w:cs="Times New Roman"/>
          <w:b/>
          <w:i/>
          <w:sz w:val="20"/>
          <w:szCs w:val="20"/>
        </w:rPr>
        <w:t>9</w:t>
      </w:r>
      <w:r>
        <w:rPr>
          <w:rFonts w:ascii="Times New Roman" w:hAnsi="Times New Roman" w:cs="Times New Roman"/>
          <w:b/>
          <w:i/>
          <w:sz w:val="20"/>
          <w:szCs w:val="20"/>
        </w:rPr>
        <w:t xml:space="preserve">: </w:t>
      </w:r>
      <w:r>
        <w:rPr>
          <w:rFonts w:ascii="Times New Roman" w:hAnsi="Times New Roman" w:cs="Times New Roman" w:hint="eastAsia"/>
          <w:bCs/>
          <w:i/>
          <w:sz w:val="20"/>
          <w:szCs w:val="20"/>
        </w:rPr>
        <w:t>Study the optimization on power saving when GNSS positioning for every UL transmission is unnecessary.</w:t>
      </w:r>
    </w:p>
    <w:p w:rsidR="00C44233" w:rsidRDefault="005C67B5">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RACH enhancement</w:t>
      </w:r>
    </w:p>
    <w:p w:rsidR="00C44233" w:rsidRDefault="005C67B5">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cell in NTN is much larger than the cell in terrestrial network. Because the NPRACH resource is limited, the supported UE density in NTN is reduced. The supported UE density of different NTN scenarios are already estimated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_Ref6137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[7]</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as follows.</w:t>
      </w:r>
    </w:p>
    <w:p w:rsidR="00C44233" w:rsidRDefault="005C67B5">
      <w:pPr>
        <w:pStyle w:val="a3"/>
        <w:rPr>
          <w:lang w:val="en-US"/>
        </w:rPr>
      </w:pPr>
      <w:r>
        <w:rPr>
          <w:b w:val="0"/>
          <w:bCs w:val="0"/>
        </w:rPr>
        <w:t xml:space="preserve">Table </w:t>
      </w:r>
      <w:r>
        <w:rPr>
          <w:rFonts w:hint="eastAsia"/>
          <w:b w:val="0"/>
          <w:bCs w:val="0"/>
          <w:lang w:val="en-US"/>
        </w:rPr>
        <w:t xml:space="preserve">3 </w:t>
      </w:r>
      <w:proofErr w:type="gramStart"/>
      <w:r>
        <w:rPr>
          <w:rFonts w:hint="eastAsia"/>
          <w:b w:val="0"/>
          <w:bCs w:val="0"/>
          <w:lang w:val="en-US"/>
        </w:rPr>
        <w:t>The</w:t>
      </w:r>
      <w:proofErr w:type="gramEnd"/>
      <w:r>
        <w:rPr>
          <w:rFonts w:hint="eastAsia"/>
          <w:b w:val="0"/>
          <w:bCs w:val="0"/>
          <w:lang w:val="en-US"/>
        </w:rPr>
        <w:t xml:space="preserve"> supported UE density of different NTN scenario</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2000"/>
        <w:gridCol w:w="2053"/>
      </w:tblGrid>
      <w:tr w:rsidR="00C44233">
        <w:trPr>
          <w:jc w:val="center"/>
        </w:trPr>
        <w:tc>
          <w:tcPr>
            <w:tcW w:w="741" w:type="dxa"/>
            <w:shd w:val="clear" w:color="auto" w:fill="D9D9D9"/>
          </w:tcPr>
          <w:p w:rsidR="00C44233" w:rsidRDefault="00C44233">
            <w:pPr>
              <w:rPr>
                <w:rFonts w:ascii="Times New Roman" w:eastAsia="宋体" w:hAnsi="Times New Roman" w:cs="Times New Roman"/>
                <w:sz w:val="20"/>
                <w:szCs w:val="20"/>
              </w:rPr>
            </w:pPr>
          </w:p>
        </w:tc>
        <w:tc>
          <w:tcPr>
            <w:tcW w:w="2895" w:type="dxa"/>
            <w:shd w:val="clear" w:color="auto" w:fill="D9D9D9"/>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Coverage (km</w:t>
            </w:r>
            <w:r>
              <w:rPr>
                <w:rFonts w:ascii="Times New Roman" w:eastAsia="宋体" w:hAnsi="Times New Roman" w:cs="Times New Roman"/>
                <w:sz w:val="20"/>
                <w:szCs w:val="20"/>
                <w:vertAlign w:val="superscript"/>
              </w:rPr>
              <w:t>2</w:t>
            </w:r>
            <w:r>
              <w:rPr>
                <w:rFonts w:ascii="Times New Roman" w:eastAsia="宋体" w:hAnsi="Times New Roman" w:cs="Times New Roman"/>
                <w:sz w:val="20"/>
                <w:szCs w:val="20"/>
              </w:rPr>
              <w:t>)</w:t>
            </w:r>
          </w:p>
        </w:tc>
        <w:tc>
          <w:tcPr>
            <w:tcW w:w="2000" w:type="dxa"/>
            <w:shd w:val="clear" w:color="auto" w:fill="D9D9D9"/>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(single carrier)</w:t>
            </w:r>
          </w:p>
        </w:tc>
        <w:tc>
          <w:tcPr>
            <w:tcW w:w="2053" w:type="dxa"/>
            <w:shd w:val="clear" w:color="auto" w:fill="D9D9D9"/>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(16 carriers)</w:t>
            </w:r>
          </w:p>
        </w:tc>
      </w:tr>
      <w:tr w:rsidR="00C44233">
        <w:trPr>
          <w:jc w:val="center"/>
        </w:trPr>
        <w:tc>
          <w:tcPr>
            <w:tcW w:w="741" w:type="dxa"/>
            <w:vMerge w:val="restart"/>
            <w:vAlign w:val="center"/>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GEO</w:t>
            </w:r>
          </w:p>
        </w:tc>
        <w:tc>
          <w:tcPr>
            <w:tcW w:w="2895"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650000 (hex with r=500km)</w:t>
            </w:r>
          </w:p>
        </w:tc>
        <w:tc>
          <w:tcPr>
            <w:tcW w:w="2000"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~0.2863 UE/km</w:t>
            </w:r>
            <w:r>
              <w:rPr>
                <w:rFonts w:ascii="Times New Roman" w:eastAsia="宋体" w:hAnsi="Times New Roman" w:cs="Times New Roman"/>
                <w:sz w:val="20"/>
                <w:szCs w:val="20"/>
                <w:vertAlign w:val="superscript"/>
              </w:rPr>
              <w:t>2</w:t>
            </w:r>
          </w:p>
        </w:tc>
        <w:tc>
          <w:tcPr>
            <w:tcW w:w="2053"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r w:rsidR="00C44233">
        <w:trPr>
          <w:jc w:val="center"/>
        </w:trPr>
        <w:tc>
          <w:tcPr>
            <w:tcW w:w="741" w:type="dxa"/>
            <w:vMerge/>
          </w:tcPr>
          <w:p w:rsidR="00C44233" w:rsidRDefault="00C44233">
            <w:pPr>
              <w:rPr>
                <w:rFonts w:ascii="Times New Roman" w:eastAsia="宋体" w:hAnsi="Times New Roman" w:cs="Times New Roman"/>
                <w:sz w:val="20"/>
                <w:szCs w:val="20"/>
              </w:rPr>
            </w:pPr>
          </w:p>
        </w:tc>
        <w:tc>
          <w:tcPr>
            <w:tcW w:w="2895"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162500 (hex with r=250km)</w:t>
            </w:r>
          </w:p>
        </w:tc>
        <w:tc>
          <w:tcPr>
            <w:tcW w:w="2000"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~1.1451 UE/km</w:t>
            </w:r>
            <w:r>
              <w:rPr>
                <w:rFonts w:ascii="Times New Roman" w:eastAsia="宋体" w:hAnsi="Times New Roman" w:cs="Times New Roman"/>
                <w:sz w:val="20"/>
                <w:szCs w:val="20"/>
                <w:vertAlign w:val="superscript"/>
              </w:rPr>
              <w:t>2</w:t>
            </w:r>
          </w:p>
        </w:tc>
        <w:tc>
          <w:tcPr>
            <w:tcW w:w="2053"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~18.3212 UE/km</w:t>
            </w:r>
            <w:r>
              <w:rPr>
                <w:rFonts w:ascii="Times New Roman" w:eastAsia="宋体" w:hAnsi="Times New Roman" w:cs="Times New Roman"/>
                <w:sz w:val="20"/>
                <w:szCs w:val="20"/>
                <w:vertAlign w:val="superscript"/>
              </w:rPr>
              <w:t>2</w:t>
            </w:r>
          </w:p>
        </w:tc>
      </w:tr>
      <w:tr w:rsidR="00C44233">
        <w:trPr>
          <w:jc w:val="center"/>
        </w:trPr>
        <w:tc>
          <w:tcPr>
            <w:tcW w:w="741" w:type="dxa"/>
            <w:vMerge w:val="restart"/>
            <w:vAlign w:val="center"/>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LEO</w:t>
            </w:r>
          </w:p>
        </w:tc>
        <w:tc>
          <w:tcPr>
            <w:tcW w:w="2895"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26000 (hex with r=100km)</w:t>
            </w:r>
          </w:p>
        </w:tc>
        <w:tc>
          <w:tcPr>
            <w:tcW w:w="2000"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~7.1567 UE/km</w:t>
            </w:r>
            <w:r>
              <w:rPr>
                <w:rFonts w:ascii="Times New Roman" w:eastAsia="宋体" w:hAnsi="Times New Roman" w:cs="Times New Roman"/>
                <w:sz w:val="20"/>
                <w:szCs w:val="20"/>
                <w:vertAlign w:val="superscript"/>
              </w:rPr>
              <w:t>2</w:t>
            </w:r>
          </w:p>
        </w:tc>
        <w:tc>
          <w:tcPr>
            <w:tcW w:w="2053"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~114.5 UE/km</w:t>
            </w:r>
            <w:r>
              <w:rPr>
                <w:rFonts w:ascii="Times New Roman" w:eastAsia="宋体" w:hAnsi="Times New Roman" w:cs="Times New Roman"/>
                <w:sz w:val="20"/>
                <w:szCs w:val="20"/>
                <w:vertAlign w:val="superscript"/>
              </w:rPr>
              <w:t>2</w:t>
            </w:r>
          </w:p>
        </w:tc>
      </w:tr>
      <w:tr w:rsidR="00C44233">
        <w:trPr>
          <w:jc w:val="center"/>
        </w:trPr>
        <w:tc>
          <w:tcPr>
            <w:tcW w:w="741" w:type="dxa"/>
            <w:vMerge/>
          </w:tcPr>
          <w:p w:rsidR="00C44233" w:rsidRDefault="00C44233">
            <w:pPr>
              <w:rPr>
                <w:rFonts w:ascii="Times New Roman" w:eastAsia="宋体" w:hAnsi="Times New Roman" w:cs="Times New Roman"/>
                <w:sz w:val="20"/>
                <w:szCs w:val="20"/>
              </w:rPr>
            </w:pPr>
          </w:p>
        </w:tc>
        <w:tc>
          <w:tcPr>
            <w:tcW w:w="2895"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6500 (hex with r=50km)</w:t>
            </w:r>
          </w:p>
        </w:tc>
        <w:tc>
          <w:tcPr>
            <w:tcW w:w="2000"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~28.63 UE/km</w:t>
            </w:r>
            <w:r>
              <w:rPr>
                <w:rFonts w:ascii="Times New Roman" w:eastAsia="宋体" w:hAnsi="Times New Roman" w:cs="Times New Roman"/>
                <w:sz w:val="20"/>
                <w:szCs w:val="20"/>
                <w:vertAlign w:val="superscript"/>
              </w:rPr>
              <w:t>2</w:t>
            </w:r>
          </w:p>
        </w:tc>
        <w:tc>
          <w:tcPr>
            <w:tcW w:w="2053" w:type="dxa"/>
          </w:tcPr>
          <w:p w:rsidR="00C44233" w:rsidRDefault="005C67B5">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bl>
    <w:p w:rsidR="00C44233" w:rsidRDefault="005C67B5">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It can be seen that only with 16 carriers for NPRACH and the smallest beam size, the NTN is able to support the lowest requirement for IoT device density. In all other scenarios, the supported UE density is not enough. The supported UE density can be improved by designing new NPRACH format. A direct method is to use a sequence to form a symbol group, instead of using all 1 in each single-tone OFDM symbol. An example is as follows.</w:t>
      </w:r>
    </w:p>
    <w:p w:rsidR="00C44233" w:rsidRDefault="005C67B5">
      <w:pPr>
        <w:tabs>
          <w:tab w:val="left" w:pos="2609"/>
        </w:tabs>
        <w:adjustRightInd w:val="0"/>
        <w:snapToGrid w:val="0"/>
        <w:spacing w:beforeLines="50" w:before="120" w:afterLines="50" w:after="120"/>
        <w:ind w:leftChars="200" w:left="440"/>
        <w:jc w:val="center"/>
      </w:pPr>
      <w:r>
        <w:rPr>
          <w:noProof/>
        </w:rPr>
        <w:lastRenderedPageBreak/>
        <w:drawing>
          <wp:inline distT="0" distB="0" distL="114300" distR="114300">
            <wp:extent cx="2764155" cy="1539875"/>
            <wp:effectExtent l="0" t="0" r="17145" b="3175"/>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31"/>
                    <a:srcRect l="15315" t="1578" r="11857"/>
                    <a:stretch>
                      <a:fillRect/>
                    </a:stretch>
                  </pic:blipFill>
                  <pic:spPr>
                    <a:xfrm>
                      <a:off x="0" y="0"/>
                      <a:ext cx="2764155" cy="1539875"/>
                    </a:xfrm>
                    <a:prstGeom prst="rect">
                      <a:avLst/>
                    </a:prstGeom>
                    <a:noFill/>
                    <a:ln>
                      <a:noFill/>
                    </a:ln>
                  </pic:spPr>
                </pic:pic>
              </a:graphicData>
            </a:graphic>
          </wp:inline>
        </w:drawing>
      </w:r>
    </w:p>
    <w:p w:rsidR="00C44233" w:rsidRDefault="005C67B5">
      <w:pPr>
        <w:autoSpaceDE w:val="0"/>
        <w:autoSpaceDN w:val="0"/>
        <w:adjustRightInd w:val="0"/>
        <w:snapToGrid w:val="0"/>
        <w:spacing w:after="120" w:line="240" w:lineRule="auto"/>
        <w:jc w:val="center"/>
        <w:rPr>
          <w:rFonts w:ascii="Times New Roman" w:eastAsia="宋体" w:hAnsi="Times New Roman" w:cs="Times New Roman"/>
          <w:kern w:val="2"/>
          <w:sz w:val="20"/>
          <w:szCs w:val="20"/>
        </w:rPr>
      </w:pPr>
      <w:r>
        <w:rPr>
          <w:rFonts w:ascii="Times New Roman" w:eastAsia="宋体" w:hAnsi="Times New Roman" w:cs="Times New Roman"/>
          <w:kern w:val="2"/>
          <w:sz w:val="20"/>
          <w:szCs w:val="20"/>
          <w:lang w:val="en-GB"/>
        </w:rPr>
        <w:t xml:space="preserve">Figure </w:t>
      </w:r>
      <w:r>
        <w:rPr>
          <w:rFonts w:ascii="Times New Roman" w:eastAsia="宋体" w:hAnsi="Times New Roman" w:cs="Times New Roman" w:hint="eastAsia"/>
          <w:kern w:val="2"/>
          <w:sz w:val="20"/>
          <w:szCs w:val="20"/>
        </w:rPr>
        <w:t>3</w:t>
      </w:r>
      <w:r>
        <w:rPr>
          <w:rFonts w:ascii="Times New Roman" w:eastAsia="宋体" w:hAnsi="Times New Roman" w:cs="Times New Roman" w:hint="eastAsia"/>
          <w:b/>
          <w:bCs/>
          <w:kern w:val="2"/>
          <w:sz w:val="20"/>
          <w:szCs w:val="20"/>
        </w:rPr>
        <w:t xml:space="preserve"> </w:t>
      </w:r>
      <w:r>
        <w:rPr>
          <w:rFonts w:ascii="Times New Roman" w:eastAsia="宋体" w:hAnsi="Times New Roman" w:cs="Times New Roman" w:hint="eastAsia"/>
          <w:kern w:val="2"/>
          <w:sz w:val="20"/>
          <w:szCs w:val="20"/>
        </w:rPr>
        <w:t>A new NPRACH format to improve supported UE density</w:t>
      </w:r>
    </w:p>
    <w:p w:rsidR="00C44233" w:rsidRDefault="005C67B5">
      <w:pPr>
        <w:ind w:leftChars="200" w:left="440"/>
        <w:rPr>
          <w:rFonts w:ascii="Times New Roman" w:hAnsi="Times New Roman" w:cs="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24CFE">
        <w:rPr>
          <w:rFonts w:ascii="Times New Roman" w:eastAsia="宋体" w:hAnsi="Times New Roman"/>
          <w:b/>
          <w:i/>
          <w:sz w:val="20"/>
          <w:szCs w:val="20"/>
        </w:rPr>
        <w:t>10</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Pr>
          <w:rFonts w:ascii="Times New Roman" w:eastAsia="宋体" w:hAnsi="Times New Roman" w:hint="eastAsia"/>
          <w:bCs/>
          <w:i/>
          <w:sz w:val="20"/>
          <w:szCs w:val="20"/>
        </w:rPr>
        <w:t>Study PRACH format to improve UE density.</w:t>
      </w:r>
    </w:p>
    <w:p w:rsidR="00C44233" w:rsidRDefault="005C67B5">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C44233" w:rsidRDefault="005C67B5">
      <w:pPr>
        <w:pStyle w:val="ac"/>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w:t>
      </w:r>
    </w:p>
    <w:p w:rsidR="00724CFE" w:rsidRDefault="00724CFE" w:rsidP="00724CFE">
      <w:pPr>
        <w:ind w:leftChars="200" w:left="440"/>
        <w:jc w:val="both"/>
        <w:rPr>
          <w:rFonts w:ascii="Times New Roman" w:eastAsia="宋体" w:hAnsi="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eastAsia="宋体" w:hAnsi="Times New Roman" w:hint="eastAsia"/>
          <w:i/>
          <w:sz w:val="20"/>
          <w:szCs w:val="20"/>
        </w:rPr>
        <w:t>100 kHz channel raster may not be large enough to avoid ambiguity in DL synchronization of IoT over NTN when multiple cells from different satellites could cover same UE.</w:t>
      </w:r>
    </w:p>
    <w:p w:rsidR="00724CFE" w:rsidRDefault="00724CFE" w:rsidP="00724CFE">
      <w:pPr>
        <w:spacing w:beforeLines="50" w:before="120" w:line="26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hint="eastAsia"/>
          <w:bCs/>
          <w:i/>
          <w:sz w:val="20"/>
          <w:szCs w:val="20"/>
        </w:rPr>
        <w:t>The power consumption of SIB reading for ephemeris Option 2 is significantly less than that of the Option 1.</w:t>
      </w:r>
    </w:p>
    <w:p w:rsidR="00724CFE" w:rsidRPr="00724CFE" w:rsidRDefault="00724CFE" w:rsidP="00724CFE">
      <w:pPr>
        <w:spacing w:beforeLines="50" w:before="120"/>
        <w:ind w:left="420" w:firstLine="23"/>
        <w:jc w:val="both"/>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hAnsi="Times New Roman" w:cs="Times New Roman" w:hint="eastAsia"/>
          <w:bCs/>
          <w:i/>
          <w:sz w:val="20"/>
          <w:szCs w:val="20"/>
        </w:rPr>
        <w:t>The power consumption of GNSS positioning is much larger than that of the SIB reading for ephemeris Option 2.</w:t>
      </w:r>
    </w:p>
    <w:p w:rsidR="00724CFE" w:rsidRDefault="00724CFE" w:rsidP="00724CFE">
      <w:pPr>
        <w:spacing w:beforeLines="50" w:before="120" w:line="260" w:lineRule="auto"/>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 xml:space="preserve">: </w:t>
      </w:r>
      <w:r>
        <w:rPr>
          <w:rFonts w:ascii="Times New Roman" w:hAnsi="Times New Roman" w:cs="Times New Roman" w:hint="eastAsia"/>
          <w:bCs/>
          <w:i/>
          <w:sz w:val="20"/>
          <w:szCs w:val="20"/>
        </w:rPr>
        <w:t>DL synchronization performance should be evaluated for target scenarios.</w:t>
      </w:r>
    </w:p>
    <w:p w:rsidR="00724CFE" w:rsidRDefault="00724CFE" w:rsidP="00724CFE">
      <w:pPr>
        <w:ind w:leftChars="200" w:left="440"/>
        <w:jc w:val="both"/>
      </w:pPr>
      <w:r>
        <w:rPr>
          <w:rFonts w:ascii="Times New Roman" w:hAnsi="Times New Roman" w:cs="Times New Roman" w:hint="eastAsia"/>
          <w:b/>
          <w:i/>
          <w:sz w:val="20"/>
          <w:szCs w:val="20"/>
        </w:rPr>
        <w:t>Proposal 2</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Channel raster should be enhanced in IoT over NTN </w:t>
      </w:r>
      <w:r>
        <w:rPr>
          <w:rFonts w:ascii="Times New Roman" w:eastAsia="宋体" w:hAnsi="Times New Roman"/>
          <w:i/>
          <w:sz w:val="20"/>
          <w:szCs w:val="20"/>
        </w:rPr>
        <w:t xml:space="preserve">if the scenarios with co-covered </w:t>
      </w:r>
      <w:r>
        <w:rPr>
          <w:rFonts w:ascii="Times New Roman" w:eastAsia="宋体" w:hAnsi="Times New Roman" w:hint="eastAsia"/>
          <w:i/>
          <w:sz w:val="20"/>
          <w:szCs w:val="20"/>
        </w:rPr>
        <w:t xml:space="preserve">cells from different </w:t>
      </w:r>
      <w:r>
        <w:rPr>
          <w:rFonts w:ascii="Times New Roman" w:eastAsia="宋体" w:hAnsi="Times New Roman"/>
          <w:i/>
          <w:sz w:val="20"/>
          <w:szCs w:val="20"/>
        </w:rPr>
        <w:t xml:space="preserve">LEO </w:t>
      </w:r>
      <w:r>
        <w:rPr>
          <w:rFonts w:ascii="Times New Roman" w:eastAsia="宋体" w:hAnsi="Times New Roman" w:hint="eastAsia"/>
          <w:i/>
          <w:sz w:val="20"/>
          <w:szCs w:val="20"/>
        </w:rPr>
        <w:t>satellites</w:t>
      </w:r>
      <w:r>
        <w:rPr>
          <w:rFonts w:ascii="Times New Roman" w:eastAsia="宋体" w:hAnsi="Times New Roman"/>
          <w:i/>
          <w:sz w:val="20"/>
          <w:szCs w:val="20"/>
        </w:rPr>
        <w:t xml:space="preserve"> is supported</w:t>
      </w:r>
      <w:r>
        <w:rPr>
          <w:rFonts w:ascii="Times New Roman" w:eastAsia="宋体" w:hAnsi="Times New Roman" w:hint="eastAsia"/>
          <w:i/>
          <w:sz w:val="20"/>
          <w:szCs w:val="20"/>
        </w:rPr>
        <w:t>.</w:t>
      </w:r>
    </w:p>
    <w:p w:rsidR="00724CFE" w:rsidRDefault="00724CFE" w:rsidP="00724CFE">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eastAsia="宋体" w:hAnsi="Times New Roman" w:hint="eastAsia"/>
          <w:i/>
          <w:sz w:val="20"/>
          <w:szCs w:val="20"/>
        </w:rPr>
        <w:t>Segmented pre-compensation for long continuous repetition transmission should be considered.</w:t>
      </w:r>
    </w:p>
    <w:p w:rsidR="000F7C37" w:rsidRDefault="000F7C37" w:rsidP="000F7C37">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r>
        <w:rPr>
          <w:rFonts w:ascii="Times New Roman" w:eastAsia="宋体" w:hAnsi="Times New Roman" w:hint="eastAsia"/>
          <w:i/>
          <w:sz w:val="20"/>
          <w:szCs w:val="20"/>
        </w:rPr>
        <w:t>The time duration of gap between adjacent segments</w:t>
      </w:r>
      <w:r>
        <w:rPr>
          <w:rFonts w:ascii="Times New Roman" w:eastAsia="宋体" w:hAnsi="Times New Roman"/>
          <w:i/>
          <w:sz w:val="20"/>
          <w:szCs w:val="20"/>
        </w:rPr>
        <w:t xml:space="preserve"> of one UL transmission</w:t>
      </w:r>
      <w:r>
        <w:rPr>
          <w:rFonts w:ascii="Times New Roman" w:eastAsia="宋体" w:hAnsi="Times New Roman" w:hint="eastAsia"/>
          <w:i/>
          <w:sz w:val="20"/>
          <w:szCs w:val="20"/>
        </w:rPr>
        <w:t xml:space="preserve"> should be </w:t>
      </w:r>
      <w:r>
        <w:rPr>
          <w:rFonts w:ascii="Times New Roman" w:eastAsia="宋体" w:hAnsi="Times New Roman"/>
          <w:i/>
          <w:sz w:val="20"/>
          <w:szCs w:val="20"/>
        </w:rPr>
        <w:t>supported</w:t>
      </w:r>
      <w:r>
        <w:rPr>
          <w:rFonts w:ascii="Times New Roman" w:eastAsia="宋体" w:hAnsi="Times New Roman" w:hint="eastAsia"/>
          <w:i/>
          <w:sz w:val="20"/>
          <w:szCs w:val="20"/>
        </w:rPr>
        <w:t>.</w:t>
      </w:r>
    </w:p>
    <w:p w:rsidR="00724CFE" w:rsidRDefault="00724CFE" w:rsidP="00724CFE">
      <w:pPr>
        <w:adjustRightInd w:val="0"/>
        <w:snapToGrid w:val="0"/>
        <w:spacing w:beforeLines="50" w:before="120" w:afterLines="50" w:after="120" w:line="260" w:lineRule="auto"/>
        <w:ind w:leftChars="200" w:left="440"/>
        <w:rPr>
          <w:rFonts w:ascii="Times New Roman" w:eastAsia="宋体" w:hAnsi="Times New Roman"/>
          <w:i/>
          <w:sz w:val="20"/>
          <w:szCs w:val="20"/>
        </w:rPr>
      </w:pPr>
      <w:bookmarkStart w:id="9" w:name="_GoBack"/>
      <w:bookmarkEnd w:id="9"/>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5</w:t>
      </w:r>
      <w:r>
        <w:rPr>
          <w:rFonts w:ascii="Times New Roman" w:hAnsi="Times New Roman" w:cs="Times New Roman"/>
          <w:b/>
          <w:i/>
          <w:sz w:val="20"/>
          <w:szCs w:val="20"/>
        </w:rPr>
        <w:t xml:space="preserve">: </w:t>
      </w:r>
      <w:r w:rsidRPr="00456D28">
        <w:rPr>
          <w:rFonts w:ascii="Times New Roman" w:hAnsi="Times New Roman" w:cs="Times New Roman"/>
          <w:i/>
          <w:sz w:val="20"/>
          <w:szCs w:val="20"/>
        </w:rPr>
        <w:t>A valid time range can be indicated to UE for one TA value applied in one UL transmission</w:t>
      </w:r>
      <w:r w:rsidRPr="00DA1729">
        <w:rPr>
          <w:rFonts w:ascii="Times New Roman" w:eastAsia="宋体" w:hAnsi="Times New Roman" w:hint="eastAsia"/>
          <w:i/>
          <w:sz w:val="20"/>
          <w:szCs w:val="20"/>
        </w:rPr>
        <w:t>.</w:t>
      </w:r>
    </w:p>
    <w:p w:rsidR="00724CFE" w:rsidRDefault="00724CFE" w:rsidP="00724CFE">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6</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When TA report is enabled, TA value of first or last segment </w:t>
      </w:r>
      <w:r>
        <w:rPr>
          <w:rFonts w:ascii="Times New Roman" w:eastAsia="宋体" w:hAnsi="Times New Roman"/>
          <w:i/>
          <w:sz w:val="20"/>
          <w:szCs w:val="20"/>
        </w:rPr>
        <w:t xml:space="preserve">of transmission delivering the TA report </w:t>
      </w:r>
      <w:r>
        <w:rPr>
          <w:rFonts w:ascii="Times New Roman" w:eastAsia="宋体" w:hAnsi="Times New Roman" w:hint="eastAsia"/>
          <w:i/>
          <w:sz w:val="20"/>
          <w:szCs w:val="20"/>
        </w:rPr>
        <w:t xml:space="preserve">should be </w:t>
      </w:r>
      <w:r>
        <w:rPr>
          <w:rFonts w:ascii="Times New Roman" w:eastAsia="宋体" w:hAnsi="Times New Roman"/>
          <w:i/>
          <w:sz w:val="20"/>
          <w:szCs w:val="20"/>
        </w:rPr>
        <w:t>considered</w:t>
      </w:r>
      <w:r>
        <w:rPr>
          <w:rFonts w:ascii="Times New Roman" w:eastAsia="宋体" w:hAnsi="Times New Roman" w:hint="eastAsia"/>
          <w:i/>
          <w:sz w:val="20"/>
          <w:szCs w:val="20"/>
        </w:rPr>
        <w:t>.</w:t>
      </w:r>
    </w:p>
    <w:p w:rsidR="00724CFE" w:rsidRDefault="00724CFE" w:rsidP="00724CFE">
      <w:pPr>
        <w:spacing w:beforeLines="50" w:before="120" w:line="260" w:lineRule="auto"/>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7: </w:t>
      </w:r>
      <w:r>
        <w:rPr>
          <w:rFonts w:ascii="Times New Roman" w:hAnsi="Times New Roman" w:cs="Times New Roman"/>
          <w:bCs/>
          <w:i/>
          <w:sz w:val="20"/>
          <w:szCs w:val="20"/>
        </w:rPr>
        <w:t xml:space="preserve">Study on </w:t>
      </w:r>
      <w:r w:rsidRPr="005C67B5">
        <w:rPr>
          <w:rFonts w:ascii="Times New Roman" w:hAnsi="Times New Roman" w:cs="Times New Roman"/>
          <w:bCs/>
          <w:i/>
          <w:sz w:val="20"/>
          <w:szCs w:val="20"/>
        </w:rPr>
        <w:t>the frequency of SIB reading for ephemeris</w:t>
      </w:r>
      <w:r>
        <w:rPr>
          <w:rFonts w:ascii="Times New Roman" w:hAnsi="Times New Roman" w:cs="Times New Roman"/>
          <w:bCs/>
          <w:i/>
          <w:sz w:val="20"/>
          <w:szCs w:val="20"/>
        </w:rPr>
        <w:t xml:space="preserve"> should be considered.</w:t>
      </w:r>
    </w:p>
    <w:p w:rsidR="00724CFE" w:rsidRDefault="00724CFE" w:rsidP="00724CFE">
      <w:pPr>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8: </w:t>
      </w:r>
      <w:r>
        <w:rPr>
          <w:rFonts w:ascii="Times New Roman" w:hAnsi="Times New Roman" w:cs="Times New Roman" w:hint="eastAsia"/>
          <w:bCs/>
          <w:i/>
          <w:sz w:val="20"/>
          <w:szCs w:val="20"/>
        </w:rPr>
        <w:t>Study the configuration of time gap for GNSS positioning.</w:t>
      </w:r>
    </w:p>
    <w:p w:rsidR="00724CFE" w:rsidRDefault="00724CFE" w:rsidP="00724CFE">
      <w:pPr>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9: </w:t>
      </w:r>
      <w:r>
        <w:rPr>
          <w:rFonts w:ascii="Times New Roman" w:hAnsi="Times New Roman" w:cs="Times New Roman" w:hint="eastAsia"/>
          <w:bCs/>
          <w:i/>
          <w:sz w:val="20"/>
          <w:szCs w:val="20"/>
        </w:rPr>
        <w:t>Study the optimization on power saving when GNSS positioning for every UL transmission is unnecessary.</w:t>
      </w:r>
    </w:p>
    <w:p w:rsidR="00724CFE" w:rsidRDefault="00724CFE" w:rsidP="00724CFE">
      <w:pPr>
        <w:ind w:leftChars="200" w:left="440"/>
        <w:rPr>
          <w:rFonts w:ascii="Times New Roman" w:hAnsi="Times New Roman" w:cs="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10</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Pr>
          <w:rFonts w:ascii="Times New Roman" w:eastAsia="宋体" w:hAnsi="Times New Roman" w:hint="eastAsia"/>
          <w:bCs/>
          <w:i/>
          <w:sz w:val="20"/>
          <w:szCs w:val="20"/>
        </w:rPr>
        <w:t>Study PRACH format to improve UE density.</w:t>
      </w:r>
    </w:p>
    <w:p w:rsidR="00C44233" w:rsidRDefault="005C67B5">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rsidR="00C44233" w:rsidRDefault="005C67B5">
      <w:pPr>
        <w:pStyle w:val="ListParagraph1"/>
        <w:numPr>
          <w:ilvl w:val="0"/>
          <w:numId w:val="8"/>
        </w:numPr>
        <w:spacing w:after="0" w:line="240" w:lineRule="auto"/>
        <w:ind w:left="505" w:hanging="505"/>
        <w:rPr>
          <w:rFonts w:ascii="Times New Roman" w:hAnsi="Times New Roman"/>
          <w:sz w:val="20"/>
          <w:szCs w:val="20"/>
        </w:rPr>
      </w:pPr>
      <w:bookmarkStart w:id="10" w:name="_Ref8578"/>
      <w:r>
        <w:rPr>
          <w:rFonts w:ascii="Times New Roman" w:hAnsi="Times New Roman" w:hint="eastAsia"/>
          <w:sz w:val="20"/>
          <w:szCs w:val="20"/>
        </w:rPr>
        <w:t>RAN1 Chairman</w:t>
      </w:r>
      <w:r>
        <w:rPr>
          <w:rFonts w:ascii="Times New Roman" w:hAnsi="Times New Roman"/>
          <w:sz w:val="20"/>
          <w:szCs w:val="20"/>
        </w:rPr>
        <w:t>’</w:t>
      </w:r>
      <w:r>
        <w:rPr>
          <w:rFonts w:ascii="Times New Roman" w:hAnsi="Times New Roman" w:hint="eastAsia"/>
          <w:sz w:val="20"/>
          <w:szCs w:val="20"/>
        </w:rPr>
        <w:t>s note, RAN1#104e, Jan. 2021</w:t>
      </w:r>
      <w:bookmarkEnd w:id="10"/>
    </w:p>
    <w:p w:rsidR="00C44233" w:rsidRDefault="005C67B5">
      <w:pPr>
        <w:pStyle w:val="ListParagraph1"/>
        <w:numPr>
          <w:ilvl w:val="0"/>
          <w:numId w:val="8"/>
        </w:numPr>
        <w:spacing w:after="0" w:line="240" w:lineRule="auto"/>
        <w:ind w:left="505" w:hanging="505"/>
        <w:rPr>
          <w:rFonts w:ascii="Times New Roman" w:hAnsi="Times New Roman"/>
          <w:sz w:val="20"/>
          <w:szCs w:val="20"/>
        </w:rPr>
      </w:pPr>
      <w:bookmarkStart w:id="11" w:name="_Ref10026"/>
      <w:bookmarkStart w:id="12" w:name="_Ref12729"/>
      <w:r>
        <w:rPr>
          <w:rFonts w:ascii="Times New Roman" w:hAnsi="Times New Roman" w:hint="eastAsia"/>
          <w:sz w:val="20"/>
          <w:szCs w:val="20"/>
        </w:rPr>
        <w:t>R1-</w:t>
      </w:r>
      <w:r w:rsidR="002916FD">
        <w:rPr>
          <w:rFonts w:ascii="Times New Roman" w:hAnsi="Times New Roman"/>
          <w:sz w:val="20"/>
          <w:szCs w:val="20"/>
        </w:rPr>
        <w:t>2102916</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Discussion on scenarios and link budget for IoT-NTN</w:t>
      </w:r>
      <w:r>
        <w:rPr>
          <w:rFonts w:ascii="Times New Roman" w:hAnsi="Times New Roman"/>
          <w:sz w:val="20"/>
          <w:szCs w:val="20"/>
        </w:rPr>
        <w:t>”</w:t>
      </w:r>
      <w:r>
        <w:rPr>
          <w:rFonts w:ascii="Times New Roman" w:hAnsi="Times New Roman" w:hint="eastAsia"/>
          <w:sz w:val="20"/>
          <w:szCs w:val="20"/>
        </w:rPr>
        <w:t>, ZTE, RAN1#104b-e</w:t>
      </w:r>
      <w:bookmarkEnd w:id="11"/>
    </w:p>
    <w:p w:rsidR="00C44233" w:rsidRDefault="005C67B5">
      <w:pPr>
        <w:pStyle w:val="ListParagraph1"/>
        <w:numPr>
          <w:ilvl w:val="0"/>
          <w:numId w:val="8"/>
        </w:numPr>
        <w:spacing w:after="0" w:line="240" w:lineRule="auto"/>
        <w:ind w:left="505" w:hanging="505"/>
        <w:rPr>
          <w:rFonts w:ascii="Times New Roman" w:hAnsi="Times New Roman"/>
          <w:sz w:val="20"/>
          <w:szCs w:val="20"/>
        </w:rPr>
      </w:pPr>
      <w:r>
        <w:rPr>
          <w:rFonts w:ascii="Times New Roman" w:hAnsi="Times New Roman" w:hint="eastAsia"/>
          <w:sz w:val="20"/>
          <w:szCs w:val="20"/>
        </w:rPr>
        <w:t xml:space="preserve">R1-2100595, </w:t>
      </w:r>
      <w:r>
        <w:rPr>
          <w:rFonts w:ascii="Times New Roman" w:hAnsi="Times New Roman"/>
          <w:sz w:val="20"/>
          <w:szCs w:val="20"/>
        </w:rPr>
        <w:t>“</w:t>
      </w:r>
      <w:r>
        <w:rPr>
          <w:rFonts w:ascii="Times New Roman" w:hAnsi="Times New Roman" w:hint="eastAsia"/>
          <w:sz w:val="20"/>
          <w:szCs w:val="20"/>
        </w:rPr>
        <w:t xml:space="preserve">UE Time and frequency </w:t>
      </w:r>
      <w:r>
        <w:rPr>
          <w:rFonts w:ascii="Times New Roman" w:hAnsi="Times New Roman"/>
          <w:sz w:val="20"/>
          <w:szCs w:val="20"/>
        </w:rPr>
        <w:t>Synchronization</w:t>
      </w:r>
      <w:r>
        <w:rPr>
          <w:rFonts w:ascii="Times New Roman" w:hAnsi="Times New Roman" w:hint="eastAsia"/>
          <w:sz w:val="20"/>
          <w:szCs w:val="20"/>
        </w:rPr>
        <w:t xml:space="preserve"> for NR-NTN</w:t>
      </w:r>
      <w:r>
        <w:rPr>
          <w:rFonts w:ascii="Times New Roman" w:hAnsi="Times New Roman"/>
          <w:sz w:val="20"/>
          <w:szCs w:val="20"/>
        </w:rPr>
        <w:t>”</w:t>
      </w:r>
      <w:r>
        <w:rPr>
          <w:rFonts w:ascii="Times New Roman" w:hAnsi="Times New Roman" w:hint="eastAsia"/>
          <w:sz w:val="20"/>
          <w:szCs w:val="20"/>
        </w:rPr>
        <w:t>, MediaTek, RAN1#104e, Jan. 2021</w:t>
      </w:r>
      <w:bookmarkEnd w:id="12"/>
    </w:p>
    <w:p w:rsidR="00C44233" w:rsidRDefault="005C67B5">
      <w:pPr>
        <w:pStyle w:val="ListParagraph1"/>
        <w:numPr>
          <w:ilvl w:val="0"/>
          <w:numId w:val="8"/>
        </w:numPr>
        <w:spacing w:after="0" w:line="240" w:lineRule="auto"/>
        <w:ind w:left="505" w:hanging="505"/>
        <w:rPr>
          <w:rFonts w:ascii="Times New Roman" w:hAnsi="Times New Roman"/>
          <w:sz w:val="20"/>
          <w:szCs w:val="20"/>
        </w:rPr>
      </w:pPr>
      <w:bookmarkStart w:id="13" w:name="_Ref18751"/>
      <w:r>
        <w:rPr>
          <w:rFonts w:ascii="Times New Roman" w:hAnsi="Times New Roman" w:hint="eastAsia"/>
          <w:sz w:val="20"/>
          <w:szCs w:val="20"/>
        </w:rPr>
        <w:t xml:space="preserve">R1-156006, </w:t>
      </w:r>
      <w:r>
        <w:rPr>
          <w:rFonts w:ascii="Times New Roman" w:hAnsi="Times New Roman" w:hint="eastAsia"/>
          <w:sz w:val="20"/>
          <w:szCs w:val="20"/>
        </w:rPr>
        <w:t>“</w:t>
      </w:r>
      <w:r>
        <w:rPr>
          <w:rFonts w:ascii="Times New Roman" w:hAnsi="Times New Roman" w:hint="eastAsia"/>
          <w:sz w:val="20"/>
          <w:szCs w:val="20"/>
        </w:rPr>
        <w:t>NB-IoT - Battery lifetime evaluation</w:t>
      </w:r>
      <w:r>
        <w:rPr>
          <w:rFonts w:ascii="Times New Roman" w:hAnsi="Times New Roman" w:hint="eastAsia"/>
          <w:sz w:val="20"/>
          <w:szCs w:val="20"/>
        </w:rPr>
        <w:t>”</w:t>
      </w:r>
      <w:r>
        <w:rPr>
          <w:rFonts w:ascii="Times New Roman" w:hAnsi="Times New Roman" w:hint="eastAsia"/>
          <w:sz w:val="20"/>
          <w:szCs w:val="20"/>
        </w:rPr>
        <w:t>, Ericsson, ZTE, Alcatel-Lucent, Alcatel-Lucent Shanghai Bell, Nokia, Intel, Samsung, LGE</w:t>
      </w:r>
      <w:bookmarkStart w:id="14" w:name="_Ref1969"/>
      <w:bookmarkEnd w:id="13"/>
    </w:p>
    <w:p w:rsidR="00C44233" w:rsidRDefault="005C67B5">
      <w:pPr>
        <w:pStyle w:val="ListParagraph1"/>
        <w:numPr>
          <w:ilvl w:val="0"/>
          <w:numId w:val="8"/>
        </w:numPr>
        <w:spacing w:after="0" w:line="240" w:lineRule="auto"/>
        <w:ind w:left="505" w:hanging="505"/>
        <w:rPr>
          <w:rFonts w:ascii="Times New Roman" w:hAnsi="Times New Roman"/>
          <w:sz w:val="20"/>
          <w:szCs w:val="20"/>
        </w:rPr>
      </w:pPr>
      <w:bookmarkStart w:id="15" w:name="_Ref3108"/>
      <w:r>
        <w:rPr>
          <w:rFonts w:ascii="Times New Roman" w:hAnsi="Times New Roman"/>
          <w:sz w:val="20"/>
          <w:szCs w:val="20"/>
        </w:rPr>
        <w:t>R1-2100249</w:t>
      </w:r>
      <w:r>
        <w:rPr>
          <w:rFonts w:ascii="Times New Roman" w:hAnsi="Times New Roman" w:hint="eastAsia"/>
          <w:sz w:val="20"/>
          <w:szCs w:val="20"/>
        </w:rPr>
        <w:t>, Discussion on the synchronization for IoT-NTN, ZTE, RAN1#104e</w:t>
      </w:r>
      <w:bookmarkStart w:id="16" w:name="_Ref2675"/>
      <w:bookmarkEnd w:id="14"/>
      <w:bookmarkEnd w:id="15"/>
    </w:p>
    <w:p w:rsidR="00C44233" w:rsidRDefault="005C67B5">
      <w:pPr>
        <w:pStyle w:val="ListParagraph1"/>
        <w:numPr>
          <w:ilvl w:val="0"/>
          <w:numId w:val="8"/>
        </w:numPr>
        <w:spacing w:after="0" w:line="240" w:lineRule="auto"/>
        <w:ind w:left="505" w:hanging="505"/>
        <w:rPr>
          <w:rFonts w:ascii="Times New Roman" w:hAnsi="Times New Roman"/>
          <w:sz w:val="20"/>
          <w:szCs w:val="20"/>
        </w:rPr>
      </w:pPr>
      <w:bookmarkStart w:id="17" w:name="_Ref3115"/>
      <w:r>
        <w:rPr>
          <w:rFonts w:ascii="Times New Roman" w:hAnsi="Times New Roman"/>
          <w:sz w:val="20"/>
          <w:szCs w:val="20"/>
        </w:rPr>
        <w:lastRenderedPageBreak/>
        <w:t>R1-2100878</w:t>
      </w:r>
      <w:r>
        <w:rPr>
          <w:rFonts w:ascii="Times New Roman" w:hAnsi="Times New Roman" w:hint="eastAsia"/>
          <w:sz w:val="20"/>
          <w:szCs w:val="20"/>
        </w:rPr>
        <w:t>, Power consumption of IoT-NTN, Sony, RAN1#104e</w:t>
      </w:r>
      <w:bookmarkEnd w:id="16"/>
      <w:bookmarkEnd w:id="17"/>
    </w:p>
    <w:p w:rsidR="00C44233" w:rsidRDefault="005C67B5">
      <w:pPr>
        <w:pStyle w:val="ListParagraph1"/>
        <w:numPr>
          <w:ilvl w:val="0"/>
          <w:numId w:val="8"/>
        </w:numPr>
        <w:spacing w:after="0" w:line="240" w:lineRule="auto"/>
        <w:ind w:left="505" w:hanging="505"/>
        <w:rPr>
          <w:rFonts w:ascii="Times New Roman" w:hAnsi="Times New Roman"/>
          <w:sz w:val="20"/>
          <w:szCs w:val="20"/>
        </w:rPr>
      </w:pPr>
      <w:bookmarkStart w:id="18" w:name="_Ref6137"/>
      <w:r>
        <w:rPr>
          <w:rFonts w:ascii="Times New Roman" w:hAnsi="Times New Roman" w:hint="eastAsia"/>
          <w:sz w:val="20"/>
          <w:szCs w:val="20"/>
        </w:rPr>
        <w:t xml:space="preserve">R1-2008856, </w:t>
      </w:r>
      <w:r>
        <w:rPr>
          <w:rFonts w:ascii="Times New Roman" w:hAnsi="Times New Roman" w:hint="eastAsia"/>
          <w:sz w:val="20"/>
          <w:szCs w:val="20"/>
        </w:rPr>
        <w:t>“</w:t>
      </w:r>
      <w:r>
        <w:rPr>
          <w:rFonts w:ascii="Times New Roman" w:hAnsi="Times New Roman" w:hint="eastAsia"/>
          <w:sz w:val="20"/>
          <w:szCs w:val="20"/>
        </w:rPr>
        <w:t>Discussion on power consumption and NPRACH capacity for NTN</w:t>
      </w:r>
      <w:r>
        <w:rPr>
          <w:rFonts w:ascii="Times New Roman" w:hAnsi="Times New Roman" w:hint="eastAsia"/>
          <w:sz w:val="20"/>
          <w:szCs w:val="20"/>
        </w:rPr>
        <w:t>”</w:t>
      </w:r>
      <w:r>
        <w:rPr>
          <w:rFonts w:ascii="Times New Roman" w:hAnsi="Times New Roman" w:hint="eastAsia"/>
          <w:sz w:val="20"/>
          <w:szCs w:val="20"/>
        </w:rPr>
        <w:t>, ZTE, RAN1#103-e</w:t>
      </w:r>
      <w:bookmarkEnd w:id="18"/>
    </w:p>
    <w:sectPr w:rsidR="00C442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415534"/>
    <w:multiLevelType w:val="multilevel"/>
    <w:tmpl w:val="52415534"/>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 w15:restartNumberingAfterBreak="0">
    <w:nsid w:val="78EA010E"/>
    <w:multiLevelType w:val="multilevel"/>
    <w:tmpl w:val="78EA010E"/>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37B7"/>
    <w:rsid w:val="00004E88"/>
    <w:rsid w:val="00005B14"/>
    <w:rsid w:val="00010179"/>
    <w:rsid w:val="00015039"/>
    <w:rsid w:val="00015132"/>
    <w:rsid w:val="00021434"/>
    <w:rsid w:val="00021AAE"/>
    <w:rsid w:val="00022E51"/>
    <w:rsid w:val="0002404A"/>
    <w:rsid w:val="000255C7"/>
    <w:rsid w:val="00026E46"/>
    <w:rsid w:val="000305EC"/>
    <w:rsid w:val="0003439E"/>
    <w:rsid w:val="00036AFC"/>
    <w:rsid w:val="00042798"/>
    <w:rsid w:val="00043AF2"/>
    <w:rsid w:val="00044F8D"/>
    <w:rsid w:val="00046EC1"/>
    <w:rsid w:val="00052ACC"/>
    <w:rsid w:val="00053670"/>
    <w:rsid w:val="00054B9E"/>
    <w:rsid w:val="0005556D"/>
    <w:rsid w:val="0005679C"/>
    <w:rsid w:val="000600A4"/>
    <w:rsid w:val="00062447"/>
    <w:rsid w:val="000630EA"/>
    <w:rsid w:val="0006445C"/>
    <w:rsid w:val="00064C14"/>
    <w:rsid w:val="00067072"/>
    <w:rsid w:val="000707AD"/>
    <w:rsid w:val="00076968"/>
    <w:rsid w:val="000771C3"/>
    <w:rsid w:val="00082E56"/>
    <w:rsid w:val="00082F9B"/>
    <w:rsid w:val="0008497C"/>
    <w:rsid w:val="00085425"/>
    <w:rsid w:val="0008799A"/>
    <w:rsid w:val="0009076A"/>
    <w:rsid w:val="00091DB0"/>
    <w:rsid w:val="000929D3"/>
    <w:rsid w:val="00096412"/>
    <w:rsid w:val="00096975"/>
    <w:rsid w:val="00097080"/>
    <w:rsid w:val="00097C29"/>
    <w:rsid w:val="000A0C3E"/>
    <w:rsid w:val="000A2896"/>
    <w:rsid w:val="000A5D0C"/>
    <w:rsid w:val="000A6607"/>
    <w:rsid w:val="000A6F26"/>
    <w:rsid w:val="000B219E"/>
    <w:rsid w:val="000B512D"/>
    <w:rsid w:val="000B6824"/>
    <w:rsid w:val="000C0612"/>
    <w:rsid w:val="000C1944"/>
    <w:rsid w:val="000C3A22"/>
    <w:rsid w:val="000C46C1"/>
    <w:rsid w:val="000C4C4D"/>
    <w:rsid w:val="000C5487"/>
    <w:rsid w:val="000C600C"/>
    <w:rsid w:val="000C6104"/>
    <w:rsid w:val="000C6CD2"/>
    <w:rsid w:val="000D2FFB"/>
    <w:rsid w:val="000D5861"/>
    <w:rsid w:val="000D598F"/>
    <w:rsid w:val="000E4EF8"/>
    <w:rsid w:val="000E50D3"/>
    <w:rsid w:val="000E6592"/>
    <w:rsid w:val="000E65C2"/>
    <w:rsid w:val="000E7075"/>
    <w:rsid w:val="000F150A"/>
    <w:rsid w:val="000F22A0"/>
    <w:rsid w:val="000F2DCC"/>
    <w:rsid w:val="000F4FB7"/>
    <w:rsid w:val="000F504F"/>
    <w:rsid w:val="000F58D7"/>
    <w:rsid w:val="000F7322"/>
    <w:rsid w:val="000F785C"/>
    <w:rsid w:val="000F7C37"/>
    <w:rsid w:val="00102955"/>
    <w:rsid w:val="001030E2"/>
    <w:rsid w:val="00103ADE"/>
    <w:rsid w:val="001042A2"/>
    <w:rsid w:val="001053A6"/>
    <w:rsid w:val="00112B3E"/>
    <w:rsid w:val="001140B1"/>
    <w:rsid w:val="001164E7"/>
    <w:rsid w:val="001175A0"/>
    <w:rsid w:val="0011771D"/>
    <w:rsid w:val="00117825"/>
    <w:rsid w:val="00120E8A"/>
    <w:rsid w:val="0012343B"/>
    <w:rsid w:val="00123A6A"/>
    <w:rsid w:val="00127950"/>
    <w:rsid w:val="0013220A"/>
    <w:rsid w:val="001366F7"/>
    <w:rsid w:val="001369F6"/>
    <w:rsid w:val="001401D1"/>
    <w:rsid w:val="00140AE4"/>
    <w:rsid w:val="0014136C"/>
    <w:rsid w:val="001424BF"/>
    <w:rsid w:val="0014315C"/>
    <w:rsid w:val="001455B4"/>
    <w:rsid w:val="00152655"/>
    <w:rsid w:val="00152B82"/>
    <w:rsid w:val="00152E17"/>
    <w:rsid w:val="00153DFD"/>
    <w:rsid w:val="00154CF2"/>
    <w:rsid w:val="00163958"/>
    <w:rsid w:val="00163E3A"/>
    <w:rsid w:val="001645E4"/>
    <w:rsid w:val="00164C6C"/>
    <w:rsid w:val="00166EF0"/>
    <w:rsid w:val="00170CD6"/>
    <w:rsid w:val="0017178D"/>
    <w:rsid w:val="00174EE5"/>
    <w:rsid w:val="00176496"/>
    <w:rsid w:val="001767AB"/>
    <w:rsid w:val="00177052"/>
    <w:rsid w:val="001922C9"/>
    <w:rsid w:val="0019297F"/>
    <w:rsid w:val="00194A42"/>
    <w:rsid w:val="001964C6"/>
    <w:rsid w:val="001A040E"/>
    <w:rsid w:val="001A27EA"/>
    <w:rsid w:val="001A585E"/>
    <w:rsid w:val="001A74B5"/>
    <w:rsid w:val="001B0350"/>
    <w:rsid w:val="001B1525"/>
    <w:rsid w:val="001C1A3C"/>
    <w:rsid w:val="001C3113"/>
    <w:rsid w:val="001C34AE"/>
    <w:rsid w:val="001C53EA"/>
    <w:rsid w:val="001D3FCD"/>
    <w:rsid w:val="001D4C5A"/>
    <w:rsid w:val="001D5472"/>
    <w:rsid w:val="001D59E7"/>
    <w:rsid w:val="001D7DDA"/>
    <w:rsid w:val="001E0DE7"/>
    <w:rsid w:val="001E130B"/>
    <w:rsid w:val="001E2099"/>
    <w:rsid w:val="001E27E0"/>
    <w:rsid w:val="001F080B"/>
    <w:rsid w:val="001F42FD"/>
    <w:rsid w:val="001F532D"/>
    <w:rsid w:val="001F73F8"/>
    <w:rsid w:val="001F7E2A"/>
    <w:rsid w:val="00203368"/>
    <w:rsid w:val="00204E86"/>
    <w:rsid w:val="00206259"/>
    <w:rsid w:val="00211192"/>
    <w:rsid w:val="00212229"/>
    <w:rsid w:val="00215B4B"/>
    <w:rsid w:val="00215C0C"/>
    <w:rsid w:val="00220F13"/>
    <w:rsid w:val="00222B41"/>
    <w:rsid w:val="002239D1"/>
    <w:rsid w:val="002239E2"/>
    <w:rsid w:val="002260BF"/>
    <w:rsid w:val="002277AA"/>
    <w:rsid w:val="00227B9F"/>
    <w:rsid w:val="00230E2F"/>
    <w:rsid w:val="002337F7"/>
    <w:rsid w:val="00234FE9"/>
    <w:rsid w:val="0024089A"/>
    <w:rsid w:val="00241E81"/>
    <w:rsid w:val="00242177"/>
    <w:rsid w:val="0024761D"/>
    <w:rsid w:val="002509D8"/>
    <w:rsid w:val="00255D8E"/>
    <w:rsid w:val="00261495"/>
    <w:rsid w:val="002617C9"/>
    <w:rsid w:val="002628A3"/>
    <w:rsid w:val="00263CF8"/>
    <w:rsid w:val="00266010"/>
    <w:rsid w:val="002662CE"/>
    <w:rsid w:val="00272F96"/>
    <w:rsid w:val="002749B2"/>
    <w:rsid w:val="002804CA"/>
    <w:rsid w:val="00282B5B"/>
    <w:rsid w:val="002863A3"/>
    <w:rsid w:val="00286741"/>
    <w:rsid w:val="00286A1A"/>
    <w:rsid w:val="002901AB"/>
    <w:rsid w:val="00290518"/>
    <w:rsid w:val="002916FD"/>
    <w:rsid w:val="00291D82"/>
    <w:rsid w:val="002924F9"/>
    <w:rsid w:val="0029575D"/>
    <w:rsid w:val="002A03BF"/>
    <w:rsid w:val="002A40A7"/>
    <w:rsid w:val="002A431F"/>
    <w:rsid w:val="002A5D5E"/>
    <w:rsid w:val="002A5DBB"/>
    <w:rsid w:val="002A7E58"/>
    <w:rsid w:val="002B1AEC"/>
    <w:rsid w:val="002B3F53"/>
    <w:rsid w:val="002B4341"/>
    <w:rsid w:val="002B5408"/>
    <w:rsid w:val="002B6229"/>
    <w:rsid w:val="002C1562"/>
    <w:rsid w:val="002C37D5"/>
    <w:rsid w:val="002C3F9A"/>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45E7"/>
    <w:rsid w:val="002F65FD"/>
    <w:rsid w:val="002F67A2"/>
    <w:rsid w:val="002F67ED"/>
    <w:rsid w:val="002F7433"/>
    <w:rsid w:val="00300887"/>
    <w:rsid w:val="00300BD1"/>
    <w:rsid w:val="00301393"/>
    <w:rsid w:val="00301C35"/>
    <w:rsid w:val="003020ED"/>
    <w:rsid w:val="0030330F"/>
    <w:rsid w:val="00303EF0"/>
    <w:rsid w:val="00304BDE"/>
    <w:rsid w:val="00305DE0"/>
    <w:rsid w:val="00305DE1"/>
    <w:rsid w:val="00313773"/>
    <w:rsid w:val="00313AD9"/>
    <w:rsid w:val="00313D16"/>
    <w:rsid w:val="00315C20"/>
    <w:rsid w:val="00317C7F"/>
    <w:rsid w:val="00320CAE"/>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56938"/>
    <w:rsid w:val="003634E2"/>
    <w:rsid w:val="00363A78"/>
    <w:rsid w:val="00363AC2"/>
    <w:rsid w:val="003643F8"/>
    <w:rsid w:val="00366F67"/>
    <w:rsid w:val="0037065F"/>
    <w:rsid w:val="0037266D"/>
    <w:rsid w:val="00375C1F"/>
    <w:rsid w:val="003813C9"/>
    <w:rsid w:val="003821A4"/>
    <w:rsid w:val="00384A17"/>
    <w:rsid w:val="003851CA"/>
    <w:rsid w:val="0038541D"/>
    <w:rsid w:val="00387508"/>
    <w:rsid w:val="00391906"/>
    <w:rsid w:val="0039193E"/>
    <w:rsid w:val="003933F1"/>
    <w:rsid w:val="003947C3"/>
    <w:rsid w:val="00395C77"/>
    <w:rsid w:val="00396782"/>
    <w:rsid w:val="00396A19"/>
    <w:rsid w:val="00396FEB"/>
    <w:rsid w:val="003A0AD5"/>
    <w:rsid w:val="003A0F24"/>
    <w:rsid w:val="003A11F6"/>
    <w:rsid w:val="003A1352"/>
    <w:rsid w:val="003A1EED"/>
    <w:rsid w:val="003A2742"/>
    <w:rsid w:val="003A2A26"/>
    <w:rsid w:val="003A2EE6"/>
    <w:rsid w:val="003A3310"/>
    <w:rsid w:val="003A420A"/>
    <w:rsid w:val="003A519F"/>
    <w:rsid w:val="003A5A4D"/>
    <w:rsid w:val="003B1113"/>
    <w:rsid w:val="003B1C09"/>
    <w:rsid w:val="003B30D0"/>
    <w:rsid w:val="003B3197"/>
    <w:rsid w:val="003B5BAE"/>
    <w:rsid w:val="003B6A62"/>
    <w:rsid w:val="003C193E"/>
    <w:rsid w:val="003C54CC"/>
    <w:rsid w:val="003C562C"/>
    <w:rsid w:val="003C6911"/>
    <w:rsid w:val="003D0C02"/>
    <w:rsid w:val="003D471D"/>
    <w:rsid w:val="003D645F"/>
    <w:rsid w:val="003E10DC"/>
    <w:rsid w:val="003E21E9"/>
    <w:rsid w:val="003E239D"/>
    <w:rsid w:val="003E3CEC"/>
    <w:rsid w:val="003E4FCA"/>
    <w:rsid w:val="003E4FD3"/>
    <w:rsid w:val="003F097C"/>
    <w:rsid w:val="003F16AA"/>
    <w:rsid w:val="003F2293"/>
    <w:rsid w:val="003F7954"/>
    <w:rsid w:val="00402656"/>
    <w:rsid w:val="00405E9A"/>
    <w:rsid w:val="00406247"/>
    <w:rsid w:val="00407685"/>
    <w:rsid w:val="00407B1E"/>
    <w:rsid w:val="0041043C"/>
    <w:rsid w:val="00411214"/>
    <w:rsid w:val="00416785"/>
    <w:rsid w:val="0041746D"/>
    <w:rsid w:val="00417601"/>
    <w:rsid w:val="00417A84"/>
    <w:rsid w:val="00422186"/>
    <w:rsid w:val="0042521E"/>
    <w:rsid w:val="004252B8"/>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75005"/>
    <w:rsid w:val="00477CFE"/>
    <w:rsid w:val="0048145B"/>
    <w:rsid w:val="00481B43"/>
    <w:rsid w:val="0048347E"/>
    <w:rsid w:val="00484022"/>
    <w:rsid w:val="0048570C"/>
    <w:rsid w:val="00486487"/>
    <w:rsid w:val="0048653D"/>
    <w:rsid w:val="00490561"/>
    <w:rsid w:val="00492181"/>
    <w:rsid w:val="00492CAD"/>
    <w:rsid w:val="004945B1"/>
    <w:rsid w:val="00494A92"/>
    <w:rsid w:val="00495909"/>
    <w:rsid w:val="00495944"/>
    <w:rsid w:val="00495A57"/>
    <w:rsid w:val="004A15E7"/>
    <w:rsid w:val="004A5C0E"/>
    <w:rsid w:val="004A6BE0"/>
    <w:rsid w:val="004B05AC"/>
    <w:rsid w:val="004B27B7"/>
    <w:rsid w:val="004B37BB"/>
    <w:rsid w:val="004B6616"/>
    <w:rsid w:val="004C047C"/>
    <w:rsid w:val="004C1572"/>
    <w:rsid w:val="004C32AB"/>
    <w:rsid w:val="004C35CF"/>
    <w:rsid w:val="004D15F3"/>
    <w:rsid w:val="004D4385"/>
    <w:rsid w:val="004D578F"/>
    <w:rsid w:val="004D58FF"/>
    <w:rsid w:val="004D59E5"/>
    <w:rsid w:val="004D76CF"/>
    <w:rsid w:val="004E0E27"/>
    <w:rsid w:val="004E26D6"/>
    <w:rsid w:val="004E5051"/>
    <w:rsid w:val="004E5664"/>
    <w:rsid w:val="004E6534"/>
    <w:rsid w:val="004E7C87"/>
    <w:rsid w:val="004F004C"/>
    <w:rsid w:val="004F09C8"/>
    <w:rsid w:val="004F3689"/>
    <w:rsid w:val="004F47F5"/>
    <w:rsid w:val="004F7230"/>
    <w:rsid w:val="00500B0A"/>
    <w:rsid w:val="0050203F"/>
    <w:rsid w:val="00503202"/>
    <w:rsid w:val="00504167"/>
    <w:rsid w:val="0050481A"/>
    <w:rsid w:val="00514A5F"/>
    <w:rsid w:val="0051511D"/>
    <w:rsid w:val="0051721B"/>
    <w:rsid w:val="00520474"/>
    <w:rsid w:val="005245D8"/>
    <w:rsid w:val="00527981"/>
    <w:rsid w:val="00531476"/>
    <w:rsid w:val="00532BE2"/>
    <w:rsid w:val="00533E6F"/>
    <w:rsid w:val="00536865"/>
    <w:rsid w:val="00541281"/>
    <w:rsid w:val="00541AC2"/>
    <w:rsid w:val="005425D7"/>
    <w:rsid w:val="0054377D"/>
    <w:rsid w:val="005439BB"/>
    <w:rsid w:val="00544284"/>
    <w:rsid w:val="00546AA2"/>
    <w:rsid w:val="00547EED"/>
    <w:rsid w:val="0055515C"/>
    <w:rsid w:val="00555635"/>
    <w:rsid w:val="00557DF7"/>
    <w:rsid w:val="00560112"/>
    <w:rsid w:val="0056072D"/>
    <w:rsid w:val="00561353"/>
    <w:rsid w:val="005631E5"/>
    <w:rsid w:val="00572794"/>
    <w:rsid w:val="005776B3"/>
    <w:rsid w:val="00577B25"/>
    <w:rsid w:val="00577FA3"/>
    <w:rsid w:val="005800AE"/>
    <w:rsid w:val="005818F2"/>
    <w:rsid w:val="0058467B"/>
    <w:rsid w:val="005847B4"/>
    <w:rsid w:val="00587B31"/>
    <w:rsid w:val="00591A9A"/>
    <w:rsid w:val="00591AFC"/>
    <w:rsid w:val="00593006"/>
    <w:rsid w:val="00593D18"/>
    <w:rsid w:val="005942C9"/>
    <w:rsid w:val="00594C6B"/>
    <w:rsid w:val="005950DF"/>
    <w:rsid w:val="00595FF1"/>
    <w:rsid w:val="0059699B"/>
    <w:rsid w:val="00596B55"/>
    <w:rsid w:val="00596C89"/>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7B5"/>
    <w:rsid w:val="005C7591"/>
    <w:rsid w:val="005C7BD4"/>
    <w:rsid w:val="005D0FDD"/>
    <w:rsid w:val="005D13C0"/>
    <w:rsid w:val="005E4CFC"/>
    <w:rsid w:val="005E567C"/>
    <w:rsid w:val="005E5A35"/>
    <w:rsid w:val="005F347D"/>
    <w:rsid w:val="005F5FD1"/>
    <w:rsid w:val="005F6497"/>
    <w:rsid w:val="005F6A35"/>
    <w:rsid w:val="00600C3B"/>
    <w:rsid w:val="00604BE0"/>
    <w:rsid w:val="00604ED7"/>
    <w:rsid w:val="00605C52"/>
    <w:rsid w:val="006069F4"/>
    <w:rsid w:val="00611BF1"/>
    <w:rsid w:val="0061579B"/>
    <w:rsid w:val="00615F56"/>
    <w:rsid w:val="00617E3E"/>
    <w:rsid w:val="0062089C"/>
    <w:rsid w:val="006209D1"/>
    <w:rsid w:val="00620E03"/>
    <w:rsid w:val="00621317"/>
    <w:rsid w:val="006230D7"/>
    <w:rsid w:val="00623636"/>
    <w:rsid w:val="00625539"/>
    <w:rsid w:val="00631E9B"/>
    <w:rsid w:val="00632335"/>
    <w:rsid w:val="006336DA"/>
    <w:rsid w:val="00633ED2"/>
    <w:rsid w:val="00634D66"/>
    <w:rsid w:val="006361FB"/>
    <w:rsid w:val="006401AA"/>
    <w:rsid w:val="006424C6"/>
    <w:rsid w:val="00642581"/>
    <w:rsid w:val="0064336C"/>
    <w:rsid w:val="00645DB4"/>
    <w:rsid w:val="00646900"/>
    <w:rsid w:val="0065067B"/>
    <w:rsid w:val="006527BC"/>
    <w:rsid w:val="006535CC"/>
    <w:rsid w:val="00653D64"/>
    <w:rsid w:val="0065408D"/>
    <w:rsid w:val="006555CE"/>
    <w:rsid w:val="0065614D"/>
    <w:rsid w:val="006570C0"/>
    <w:rsid w:val="00657778"/>
    <w:rsid w:val="006608EA"/>
    <w:rsid w:val="00661B5D"/>
    <w:rsid w:val="00664290"/>
    <w:rsid w:val="006651B0"/>
    <w:rsid w:val="006652A5"/>
    <w:rsid w:val="0067386F"/>
    <w:rsid w:val="00673B49"/>
    <w:rsid w:val="00675B3E"/>
    <w:rsid w:val="00675E96"/>
    <w:rsid w:val="00676E47"/>
    <w:rsid w:val="0067706A"/>
    <w:rsid w:val="00680759"/>
    <w:rsid w:val="00681096"/>
    <w:rsid w:val="00682298"/>
    <w:rsid w:val="0068392E"/>
    <w:rsid w:val="0068550A"/>
    <w:rsid w:val="0068710D"/>
    <w:rsid w:val="006942DE"/>
    <w:rsid w:val="00695773"/>
    <w:rsid w:val="006959F4"/>
    <w:rsid w:val="00695F4B"/>
    <w:rsid w:val="006A2144"/>
    <w:rsid w:val="006A2675"/>
    <w:rsid w:val="006A5005"/>
    <w:rsid w:val="006A770B"/>
    <w:rsid w:val="006A78AB"/>
    <w:rsid w:val="006B11B9"/>
    <w:rsid w:val="006B2BFD"/>
    <w:rsid w:val="006B3E7B"/>
    <w:rsid w:val="006B44DE"/>
    <w:rsid w:val="006B68A9"/>
    <w:rsid w:val="006C5BED"/>
    <w:rsid w:val="006C63FA"/>
    <w:rsid w:val="006C7C94"/>
    <w:rsid w:val="006D02E7"/>
    <w:rsid w:val="006D267E"/>
    <w:rsid w:val="006D2F82"/>
    <w:rsid w:val="006D419D"/>
    <w:rsid w:val="006D471A"/>
    <w:rsid w:val="006D5130"/>
    <w:rsid w:val="006E1D35"/>
    <w:rsid w:val="006E492C"/>
    <w:rsid w:val="006E56D5"/>
    <w:rsid w:val="006E5A5A"/>
    <w:rsid w:val="006E77DD"/>
    <w:rsid w:val="006F05F7"/>
    <w:rsid w:val="006F2A5C"/>
    <w:rsid w:val="006F31E9"/>
    <w:rsid w:val="006F4431"/>
    <w:rsid w:val="006F72D5"/>
    <w:rsid w:val="006F72F6"/>
    <w:rsid w:val="00700CD1"/>
    <w:rsid w:val="007012CD"/>
    <w:rsid w:val="00702B90"/>
    <w:rsid w:val="0070447C"/>
    <w:rsid w:val="00710F36"/>
    <w:rsid w:val="00711028"/>
    <w:rsid w:val="00713CDF"/>
    <w:rsid w:val="0071444C"/>
    <w:rsid w:val="007153CF"/>
    <w:rsid w:val="0071629F"/>
    <w:rsid w:val="00716683"/>
    <w:rsid w:val="00720231"/>
    <w:rsid w:val="00720CE7"/>
    <w:rsid w:val="0072125E"/>
    <w:rsid w:val="00721DCF"/>
    <w:rsid w:val="0072286D"/>
    <w:rsid w:val="00724CFE"/>
    <w:rsid w:val="00724E82"/>
    <w:rsid w:val="0072584B"/>
    <w:rsid w:val="00727760"/>
    <w:rsid w:val="00727CFC"/>
    <w:rsid w:val="00730741"/>
    <w:rsid w:val="00731300"/>
    <w:rsid w:val="00731989"/>
    <w:rsid w:val="00734A39"/>
    <w:rsid w:val="00736151"/>
    <w:rsid w:val="00737944"/>
    <w:rsid w:val="007408A7"/>
    <w:rsid w:val="0074167E"/>
    <w:rsid w:val="007453DB"/>
    <w:rsid w:val="00745D0B"/>
    <w:rsid w:val="00746683"/>
    <w:rsid w:val="007571BD"/>
    <w:rsid w:val="00762B16"/>
    <w:rsid w:val="00764DDF"/>
    <w:rsid w:val="00765D18"/>
    <w:rsid w:val="00766275"/>
    <w:rsid w:val="00766EC1"/>
    <w:rsid w:val="00770305"/>
    <w:rsid w:val="0077075F"/>
    <w:rsid w:val="0077455A"/>
    <w:rsid w:val="00782A64"/>
    <w:rsid w:val="0078436A"/>
    <w:rsid w:val="0078446D"/>
    <w:rsid w:val="00786908"/>
    <w:rsid w:val="0078717C"/>
    <w:rsid w:val="007907A9"/>
    <w:rsid w:val="007918C5"/>
    <w:rsid w:val="00792482"/>
    <w:rsid w:val="007934C2"/>
    <w:rsid w:val="00795081"/>
    <w:rsid w:val="00796AB0"/>
    <w:rsid w:val="00797CE2"/>
    <w:rsid w:val="007A040B"/>
    <w:rsid w:val="007A29B5"/>
    <w:rsid w:val="007A29D7"/>
    <w:rsid w:val="007A4006"/>
    <w:rsid w:val="007A41C8"/>
    <w:rsid w:val="007A47CF"/>
    <w:rsid w:val="007A508F"/>
    <w:rsid w:val="007A64E8"/>
    <w:rsid w:val="007A6D32"/>
    <w:rsid w:val="007A7E5E"/>
    <w:rsid w:val="007A7FCE"/>
    <w:rsid w:val="007B1EAD"/>
    <w:rsid w:val="007B2A3D"/>
    <w:rsid w:val="007B2C1F"/>
    <w:rsid w:val="007B4875"/>
    <w:rsid w:val="007B4BBE"/>
    <w:rsid w:val="007B5970"/>
    <w:rsid w:val="007B59A2"/>
    <w:rsid w:val="007B630C"/>
    <w:rsid w:val="007C03F8"/>
    <w:rsid w:val="007C24BE"/>
    <w:rsid w:val="007C3DE6"/>
    <w:rsid w:val="007C4CDF"/>
    <w:rsid w:val="007C4DC2"/>
    <w:rsid w:val="007C548E"/>
    <w:rsid w:val="007C6683"/>
    <w:rsid w:val="007C74B8"/>
    <w:rsid w:val="007C74EA"/>
    <w:rsid w:val="007C753F"/>
    <w:rsid w:val="007C7CFE"/>
    <w:rsid w:val="007D056B"/>
    <w:rsid w:val="007D0D62"/>
    <w:rsid w:val="007D21B4"/>
    <w:rsid w:val="007D38B5"/>
    <w:rsid w:val="007D544F"/>
    <w:rsid w:val="007D6245"/>
    <w:rsid w:val="007E1064"/>
    <w:rsid w:val="007E195E"/>
    <w:rsid w:val="007E3897"/>
    <w:rsid w:val="007E5230"/>
    <w:rsid w:val="007E5A82"/>
    <w:rsid w:val="007E62AD"/>
    <w:rsid w:val="007E6927"/>
    <w:rsid w:val="007F12AD"/>
    <w:rsid w:val="007F19DB"/>
    <w:rsid w:val="007F2E8A"/>
    <w:rsid w:val="007F457F"/>
    <w:rsid w:val="007F4FDC"/>
    <w:rsid w:val="007F56C2"/>
    <w:rsid w:val="007F5D5F"/>
    <w:rsid w:val="00803CD0"/>
    <w:rsid w:val="00804E53"/>
    <w:rsid w:val="008073A4"/>
    <w:rsid w:val="00807AAA"/>
    <w:rsid w:val="00807D66"/>
    <w:rsid w:val="00810BD2"/>
    <w:rsid w:val="008113D6"/>
    <w:rsid w:val="00811502"/>
    <w:rsid w:val="00811BC2"/>
    <w:rsid w:val="00813870"/>
    <w:rsid w:val="00815139"/>
    <w:rsid w:val="00815DAB"/>
    <w:rsid w:val="00820855"/>
    <w:rsid w:val="0082282A"/>
    <w:rsid w:val="0082555C"/>
    <w:rsid w:val="00825ED8"/>
    <w:rsid w:val="008402A5"/>
    <w:rsid w:val="00841902"/>
    <w:rsid w:val="008423C1"/>
    <w:rsid w:val="0084566C"/>
    <w:rsid w:val="008463DA"/>
    <w:rsid w:val="00846BA7"/>
    <w:rsid w:val="0084703B"/>
    <w:rsid w:val="0084712E"/>
    <w:rsid w:val="0085082A"/>
    <w:rsid w:val="00853AB1"/>
    <w:rsid w:val="0085425D"/>
    <w:rsid w:val="008551DD"/>
    <w:rsid w:val="00860235"/>
    <w:rsid w:val="00863503"/>
    <w:rsid w:val="0086626F"/>
    <w:rsid w:val="008663D3"/>
    <w:rsid w:val="008722CE"/>
    <w:rsid w:val="0087264B"/>
    <w:rsid w:val="00874A7F"/>
    <w:rsid w:val="00876465"/>
    <w:rsid w:val="00880BCB"/>
    <w:rsid w:val="00880D19"/>
    <w:rsid w:val="00882746"/>
    <w:rsid w:val="00883D0B"/>
    <w:rsid w:val="00885657"/>
    <w:rsid w:val="008906B0"/>
    <w:rsid w:val="00892E93"/>
    <w:rsid w:val="00893F1F"/>
    <w:rsid w:val="008945C3"/>
    <w:rsid w:val="00894CFF"/>
    <w:rsid w:val="00895F0E"/>
    <w:rsid w:val="0089673D"/>
    <w:rsid w:val="00896877"/>
    <w:rsid w:val="00897EB1"/>
    <w:rsid w:val="008A1485"/>
    <w:rsid w:val="008A2C68"/>
    <w:rsid w:val="008B3AB6"/>
    <w:rsid w:val="008B4D33"/>
    <w:rsid w:val="008B5145"/>
    <w:rsid w:val="008B550C"/>
    <w:rsid w:val="008B7BC8"/>
    <w:rsid w:val="008C12B2"/>
    <w:rsid w:val="008C3882"/>
    <w:rsid w:val="008C3DDF"/>
    <w:rsid w:val="008C67BD"/>
    <w:rsid w:val="008D1239"/>
    <w:rsid w:val="008E2622"/>
    <w:rsid w:val="008E2C5C"/>
    <w:rsid w:val="008E4FCB"/>
    <w:rsid w:val="008F0532"/>
    <w:rsid w:val="008F066C"/>
    <w:rsid w:val="008F1507"/>
    <w:rsid w:val="008F198B"/>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DDB"/>
    <w:rsid w:val="0094282A"/>
    <w:rsid w:val="00951A21"/>
    <w:rsid w:val="00954629"/>
    <w:rsid w:val="00954CFA"/>
    <w:rsid w:val="009562E2"/>
    <w:rsid w:val="00956DE4"/>
    <w:rsid w:val="009668B8"/>
    <w:rsid w:val="00967200"/>
    <w:rsid w:val="009679E4"/>
    <w:rsid w:val="009706AB"/>
    <w:rsid w:val="00971E51"/>
    <w:rsid w:val="0097384E"/>
    <w:rsid w:val="009738C4"/>
    <w:rsid w:val="00974B8B"/>
    <w:rsid w:val="00975429"/>
    <w:rsid w:val="00976332"/>
    <w:rsid w:val="00976F12"/>
    <w:rsid w:val="00977D7C"/>
    <w:rsid w:val="009817F8"/>
    <w:rsid w:val="00985A1E"/>
    <w:rsid w:val="00985A93"/>
    <w:rsid w:val="00987724"/>
    <w:rsid w:val="00992C7F"/>
    <w:rsid w:val="0099340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1E44"/>
    <w:rsid w:val="009B22D8"/>
    <w:rsid w:val="009B25EA"/>
    <w:rsid w:val="009B2F3A"/>
    <w:rsid w:val="009B304D"/>
    <w:rsid w:val="009B32CE"/>
    <w:rsid w:val="009B40D9"/>
    <w:rsid w:val="009B4A2C"/>
    <w:rsid w:val="009B6D4D"/>
    <w:rsid w:val="009B73D9"/>
    <w:rsid w:val="009C54AE"/>
    <w:rsid w:val="009C721A"/>
    <w:rsid w:val="009C7FA7"/>
    <w:rsid w:val="009D143E"/>
    <w:rsid w:val="009D211C"/>
    <w:rsid w:val="009D2A8B"/>
    <w:rsid w:val="009D3862"/>
    <w:rsid w:val="009D3883"/>
    <w:rsid w:val="009D56B7"/>
    <w:rsid w:val="009D5E95"/>
    <w:rsid w:val="009D6DB8"/>
    <w:rsid w:val="009D7A28"/>
    <w:rsid w:val="009E00F4"/>
    <w:rsid w:val="009E39A0"/>
    <w:rsid w:val="009E4666"/>
    <w:rsid w:val="009E4B8F"/>
    <w:rsid w:val="009E4CB9"/>
    <w:rsid w:val="009E640E"/>
    <w:rsid w:val="009F02B0"/>
    <w:rsid w:val="009F0869"/>
    <w:rsid w:val="009F1B51"/>
    <w:rsid w:val="009F1D1C"/>
    <w:rsid w:val="009F3086"/>
    <w:rsid w:val="009F362F"/>
    <w:rsid w:val="009F373D"/>
    <w:rsid w:val="009F5040"/>
    <w:rsid w:val="009F644C"/>
    <w:rsid w:val="00A03212"/>
    <w:rsid w:val="00A03839"/>
    <w:rsid w:val="00A04388"/>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25E94"/>
    <w:rsid w:val="00A3094F"/>
    <w:rsid w:val="00A32A62"/>
    <w:rsid w:val="00A32D0C"/>
    <w:rsid w:val="00A350E9"/>
    <w:rsid w:val="00A3612D"/>
    <w:rsid w:val="00A44480"/>
    <w:rsid w:val="00A4483A"/>
    <w:rsid w:val="00A46F5D"/>
    <w:rsid w:val="00A474D2"/>
    <w:rsid w:val="00A50539"/>
    <w:rsid w:val="00A50DA0"/>
    <w:rsid w:val="00A5117B"/>
    <w:rsid w:val="00A51670"/>
    <w:rsid w:val="00A53145"/>
    <w:rsid w:val="00A53E54"/>
    <w:rsid w:val="00A54BEB"/>
    <w:rsid w:val="00A5587B"/>
    <w:rsid w:val="00A56FCC"/>
    <w:rsid w:val="00A57582"/>
    <w:rsid w:val="00A61063"/>
    <w:rsid w:val="00A61331"/>
    <w:rsid w:val="00A63C29"/>
    <w:rsid w:val="00A63F98"/>
    <w:rsid w:val="00A663F5"/>
    <w:rsid w:val="00A67884"/>
    <w:rsid w:val="00A70F38"/>
    <w:rsid w:val="00A7397C"/>
    <w:rsid w:val="00A74A33"/>
    <w:rsid w:val="00A75949"/>
    <w:rsid w:val="00A779FB"/>
    <w:rsid w:val="00A803A2"/>
    <w:rsid w:val="00A816AA"/>
    <w:rsid w:val="00A82111"/>
    <w:rsid w:val="00A86192"/>
    <w:rsid w:val="00A90563"/>
    <w:rsid w:val="00A93DBF"/>
    <w:rsid w:val="00A943AA"/>
    <w:rsid w:val="00A94BF2"/>
    <w:rsid w:val="00A94EC8"/>
    <w:rsid w:val="00AA42B3"/>
    <w:rsid w:val="00AA4C65"/>
    <w:rsid w:val="00AA70BC"/>
    <w:rsid w:val="00AB0762"/>
    <w:rsid w:val="00AB0DB7"/>
    <w:rsid w:val="00AB0EA8"/>
    <w:rsid w:val="00AB50D9"/>
    <w:rsid w:val="00AB531C"/>
    <w:rsid w:val="00AB537C"/>
    <w:rsid w:val="00AB64AA"/>
    <w:rsid w:val="00AC0699"/>
    <w:rsid w:val="00AC259E"/>
    <w:rsid w:val="00AC4496"/>
    <w:rsid w:val="00AC6CF4"/>
    <w:rsid w:val="00AC7005"/>
    <w:rsid w:val="00AC79C6"/>
    <w:rsid w:val="00AD13D8"/>
    <w:rsid w:val="00AD16C8"/>
    <w:rsid w:val="00AD3CA7"/>
    <w:rsid w:val="00AD4472"/>
    <w:rsid w:val="00AD460D"/>
    <w:rsid w:val="00AD69BF"/>
    <w:rsid w:val="00AD7211"/>
    <w:rsid w:val="00AE15B3"/>
    <w:rsid w:val="00AE1E44"/>
    <w:rsid w:val="00AE2EB5"/>
    <w:rsid w:val="00AE32E6"/>
    <w:rsid w:val="00AE67CE"/>
    <w:rsid w:val="00AE7394"/>
    <w:rsid w:val="00AF0D2A"/>
    <w:rsid w:val="00AF3856"/>
    <w:rsid w:val="00AF38F4"/>
    <w:rsid w:val="00AF684A"/>
    <w:rsid w:val="00AF6DB2"/>
    <w:rsid w:val="00B007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30102"/>
    <w:rsid w:val="00B310C0"/>
    <w:rsid w:val="00B31540"/>
    <w:rsid w:val="00B32D35"/>
    <w:rsid w:val="00B33E8A"/>
    <w:rsid w:val="00B408D6"/>
    <w:rsid w:val="00B427F7"/>
    <w:rsid w:val="00B45B55"/>
    <w:rsid w:val="00B45C9E"/>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364A"/>
    <w:rsid w:val="00B75E7C"/>
    <w:rsid w:val="00B83757"/>
    <w:rsid w:val="00B83DE8"/>
    <w:rsid w:val="00B85C67"/>
    <w:rsid w:val="00B86B2D"/>
    <w:rsid w:val="00B87415"/>
    <w:rsid w:val="00B901D2"/>
    <w:rsid w:val="00B918FF"/>
    <w:rsid w:val="00B929BC"/>
    <w:rsid w:val="00B93983"/>
    <w:rsid w:val="00B94B68"/>
    <w:rsid w:val="00B95E2F"/>
    <w:rsid w:val="00B978BD"/>
    <w:rsid w:val="00B979BA"/>
    <w:rsid w:val="00BA00FF"/>
    <w:rsid w:val="00BA0E38"/>
    <w:rsid w:val="00BA5F85"/>
    <w:rsid w:val="00BA75F8"/>
    <w:rsid w:val="00BA767D"/>
    <w:rsid w:val="00BB0B03"/>
    <w:rsid w:val="00BB4585"/>
    <w:rsid w:val="00BB76F9"/>
    <w:rsid w:val="00BC06D9"/>
    <w:rsid w:val="00BC48C0"/>
    <w:rsid w:val="00BC5A14"/>
    <w:rsid w:val="00BC6481"/>
    <w:rsid w:val="00BC6B5A"/>
    <w:rsid w:val="00BC7D68"/>
    <w:rsid w:val="00BD2FBB"/>
    <w:rsid w:val="00BD323C"/>
    <w:rsid w:val="00BD4C26"/>
    <w:rsid w:val="00BD5771"/>
    <w:rsid w:val="00BD744D"/>
    <w:rsid w:val="00BD7A06"/>
    <w:rsid w:val="00BE1FA3"/>
    <w:rsid w:val="00BE2852"/>
    <w:rsid w:val="00BE2A83"/>
    <w:rsid w:val="00BE4BC8"/>
    <w:rsid w:val="00BE4D81"/>
    <w:rsid w:val="00BE57AE"/>
    <w:rsid w:val="00BE5C58"/>
    <w:rsid w:val="00BF08A2"/>
    <w:rsid w:val="00BF0BA7"/>
    <w:rsid w:val="00BF1437"/>
    <w:rsid w:val="00BF1A30"/>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2B60"/>
    <w:rsid w:val="00C2308D"/>
    <w:rsid w:val="00C23183"/>
    <w:rsid w:val="00C244BD"/>
    <w:rsid w:val="00C2555A"/>
    <w:rsid w:val="00C2562B"/>
    <w:rsid w:val="00C25E8A"/>
    <w:rsid w:val="00C278C9"/>
    <w:rsid w:val="00C30416"/>
    <w:rsid w:val="00C30A6F"/>
    <w:rsid w:val="00C30DF3"/>
    <w:rsid w:val="00C318DE"/>
    <w:rsid w:val="00C33453"/>
    <w:rsid w:val="00C401DE"/>
    <w:rsid w:val="00C405C9"/>
    <w:rsid w:val="00C420AE"/>
    <w:rsid w:val="00C44233"/>
    <w:rsid w:val="00C460E4"/>
    <w:rsid w:val="00C463DC"/>
    <w:rsid w:val="00C5050F"/>
    <w:rsid w:val="00C50F47"/>
    <w:rsid w:val="00C52198"/>
    <w:rsid w:val="00C524B6"/>
    <w:rsid w:val="00C53B05"/>
    <w:rsid w:val="00C53B8B"/>
    <w:rsid w:val="00C55340"/>
    <w:rsid w:val="00C5795F"/>
    <w:rsid w:val="00C619DC"/>
    <w:rsid w:val="00C64FB1"/>
    <w:rsid w:val="00C7231A"/>
    <w:rsid w:val="00C7279D"/>
    <w:rsid w:val="00C734E4"/>
    <w:rsid w:val="00C73EF2"/>
    <w:rsid w:val="00C74B5A"/>
    <w:rsid w:val="00C81A12"/>
    <w:rsid w:val="00C85BFF"/>
    <w:rsid w:val="00C873A4"/>
    <w:rsid w:val="00C90EA9"/>
    <w:rsid w:val="00CA1224"/>
    <w:rsid w:val="00CB165F"/>
    <w:rsid w:val="00CB18A2"/>
    <w:rsid w:val="00CB3621"/>
    <w:rsid w:val="00CC1380"/>
    <w:rsid w:val="00CC47FF"/>
    <w:rsid w:val="00CC7D91"/>
    <w:rsid w:val="00CD08DD"/>
    <w:rsid w:val="00CD1A96"/>
    <w:rsid w:val="00CD2824"/>
    <w:rsid w:val="00CD6203"/>
    <w:rsid w:val="00CD7641"/>
    <w:rsid w:val="00CE05DB"/>
    <w:rsid w:val="00CE0777"/>
    <w:rsid w:val="00CE1474"/>
    <w:rsid w:val="00CE2393"/>
    <w:rsid w:val="00CE2682"/>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4FA2"/>
    <w:rsid w:val="00D05363"/>
    <w:rsid w:val="00D0700B"/>
    <w:rsid w:val="00D125AC"/>
    <w:rsid w:val="00D12F91"/>
    <w:rsid w:val="00D14162"/>
    <w:rsid w:val="00D14AAA"/>
    <w:rsid w:val="00D155DC"/>
    <w:rsid w:val="00D15C7E"/>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55D2"/>
    <w:rsid w:val="00D46BED"/>
    <w:rsid w:val="00D46DD0"/>
    <w:rsid w:val="00D51D58"/>
    <w:rsid w:val="00D51E45"/>
    <w:rsid w:val="00D53D4E"/>
    <w:rsid w:val="00D55309"/>
    <w:rsid w:val="00D567D8"/>
    <w:rsid w:val="00D56A56"/>
    <w:rsid w:val="00D601BE"/>
    <w:rsid w:val="00D624FA"/>
    <w:rsid w:val="00D648DD"/>
    <w:rsid w:val="00D66F15"/>
    <w:rsid w:val="00D7012E"/>
    <w:rsid w:val="00D71C76"/>
    <w:rsid w:val="00D7210F"/>
    <w:rsid w:val="00D72DDC"/>
    <w:rsid w:val="00D73733"/>
    <w:rsid w:val="00D75AD7"/>
    <w:rsid w:val="00D761A3"/>
    <w:rsid w:val="00D8078E"/>
    <w:rsid w:val="00D8377A"/>
    <w:rsid w:val="00D83D65"/>
    <w:rsid w:val="00D85ED0"/>
    <w:rsid w:val="00D874D3"/>
    <w:rsid w:val="00D87815"/>
    <w:rsid w:val="00D937E3"/>
    <w:rsid w:val="00D93BE8"/>
    <w:rsid w:val="00D93F81"/>
    <w:rsid w:val="00D94428"/>
    <w:rsid w:val="00D94683"/>
    <w:rsid w:val="00D9558B"/>
    <w:rsid w:val="00D957E5"/>
    <w:rsid w:val="00D95832"/>
    <w:rsid w:val="00D965A7"/>
    <w:rsid w:val="00DA1DA5"/>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3C75"/>
    <w:rsid w:val="00E14889"/>
    <w:rsid w:val="00E14B57"/>
    <w:rsid w:val="00E20A48"/>
    <w:rsid w:val="00E212CD"/>
    <w:rsid w:val="00E2161F"/>
    <w:rsid w:val="00E23D5C"/>
    <w:rsid w:val="00E26838"/>
    <w:rsid w:val="00E27A1A"/>
    <w:rsid w:val="00E27CD0"/>
    <w:rsid w:val="00E27F4A"/>
    <w:rsid w:val="00E30092"/>
    <w:rsid w:val="00E306FA"/>
    <w:rsid w:val="00E3226A"/>
    <w:rsid w:val="00E33135"/>
    <w:rsid w:val="00E350DA"/>
    <w:rsid w:val="00E40C89"/>
    <w:rsid w:val="00E44314"/>
    <w:rsid w:val="00E5094F"/>
    <w:rsid w:val="00E52A65"/>
    <w:rsid w:val="00E54BAE"/>
    <w:rsid w:val="00E5576F"/>
    <w:rsid w:val="00E56B3D"/>
    <w:rsid w:val="00E57BF2"/>
    <w:rsid w:val="00E57E4C"/>
    <w:rsid w:val="00E60E0D"/>
    <w:rsid w:val="00E6464A"/>
    <w:rsid w:val="00E72A1E"/>
    <w:rsid w:val="00E7312C"/>
    <w:rsid w:val="00E737B5"/>
    <w:rsid w:val="00E74166"/>
    <w:rsid w:val="00E770F5"/>
    <w:rsid w:val="00E77D0D"/>
    <w:rsid w:val="00E80DFC"/>
    <w:rsid w:val="00E8334E"/>
    <w:rsid w:val="00E84B0C"/>
    <w:rsid w:val="00E85A70"/>
    <w:rsid w:val="00E86903"/>
    <w:rsid w:val="00E872FE"/>
    <w:rsid w:val="00E90217"/>
    <w:rsid w:val="00E90FE4"/>
    <w:rsid w:val="00E91488"/>
    <w:rsid w:val="00E915BD"/>
    <w:rsid w:val="00E95A8F"/>
    <w:rsid w:val="00EA13AE"/>
    <w:rsid w:val="00EA73EF"/>
    <w:rsid w:val="00EB2F2D"/>
    <w:rsid w:val="00EB3C9F"/>
    <w:rsid w:val="00EB4908"/>
    <w:rsid w:val="00EB51E7"/>
    <w:rsid w:val="00EB5A34"/>
    <w:rsid w:val="00EB6509"/>
    <w:rsid w:val="00EB7113"/>
    <w:rsid w:val="00EC06BA"/>
    <w:rsid w:val="00EC599B"/>
    <w:rsid w:val="00EC5C40"/>
    <w:rsid w:val="00EC69A8"/>
    <w:rsid w:val="00EC70F0"/>
    <w:rsid w:val="00ED0581"/>
    <w:rsid w:val="00ED0C20"/>
    <w:rsid w:val="00ED2ACE"/>
    <w:rsid w:val="00ED4BDC"/>
    <w:rsid w:val="00ED76E9"/>
    <w:rsid w:val="00EE0830"/>
    <w:rsid w:val="00EE1302"/>
    <w:rsid w:val="00EE30ED"/>
    <w:rsid w:val="00EE3525"/>
    <w:rsid w:val="00EE45E3"/>
    <w:rsid w:val="00EE552F"/>
    <w:rsid w:val="00EF2FF8"/>
    <w:rsid w:val="00EF4797"/>
    <w:rsid w:val="00EF4DCD"/>
    <w:rsid w:val="00EF62BF"/>
    <w:rsid w:val="00F01310"/>
    <w:rsid w:val="00F01BA7"/>
    <w:rsid w:val="00F07115"/>
    <w:rsid w:val="00F0753E"/>
    <w:rsid w:val="00F10FEA"/>
    <w:rsid w:val="00F12B9C"/>
    <w:rsid w:val="00F12F07"/>
    <w:rsid w:val="00F14147"/>
    <w:rsid w:val="00F148BE"/>
    <w:rsid w:val="00F15E23"/>
    <w:rsid w:val="00F16AA7"/>
    <w:rsid w:val="00F16E34"/>
    <w:rsid w:val="00F203C3"/>
    <w:rsid w:val="00F20F82"/>
    <w:rsid w:val="00F21BF9"/>
    <w:rsid w:val="00F2284C"/>
    <w:rsid w:val="00F278F7"/>
    <w:rsid w:val="00F303D0"/>
    <w:rsid w:val="00F30C61"/>
    <w:rsid w:val="00F30E30"/>
    <w:rsid w:val="00F314C9"/>
    <w:rsid w:val="00F31A13"/>
    <w:rsid w:val="00F328B6"/>
    <w:rsid w:val="00F34395"/>
    <w:rsid w:val="00F40F3A"/>
    <w:rsid w:val="00F4268F"/>
    <w:rsid w:val="00F44C9E"/>
    <w:rsid w:val="00F454F3"/>
    <w:rsid w:val="00F502BF"/>
    <w:rsid w:val="00F516E8"/>
    <w:rsid w:val="00F52EEF"/>
    <w:rsid w:val="00F53246"/>
    <w:rsid w:val="00F545A1"/>
    <w:rsid w:val="00F57645"/>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0B67"/>
    <w:rsid w:val="00FA1036"/>
    <w:rsid w:val="00FA24EA"/>
    <w:rsid w:val="00FA28C3"/>
    <w:rsid w:val="00FB1A96"/>
    <w:rsid w:val="00FB59C1"/>
    <w:rsid w:val="00FB5B3C"/>
    <w:rsid w:val="00FB635B"/>
    <w:rsid w:val="00FC03C1"/>
    <w:rsid w:val="00FC1AFA"/>
    <w:rsid w:val="00FC2B8C"/>
    <w:rsid w:val="00FC4834"/>
    <w:rsid w:val="00FC6ACF"/>
    <w:rsid w:val="00FC74FD"/>
    <w:rsid w:val="00FD0161"/>
    <w:rsid w:val="00FD0E0C"/>
    <w:rsid w:val="00FD12AD"/>
    <w:rsid w:val="00FD3337"/>
    <w:rsid w:val="00FD50E6"/>
    <w:rsid w:val="00FD5141"/>
    <w:rsid w:val="00FD63D9"/>
    <w:rsid w:val="00FD7AC0"/>
    <w:rsid w:val="00FE19BF"/>
    <w:rsid w:val="00FE3407"/>
    <w:rsid w:val="00FE4131"/>
    <w:rsid w:val="00FE4A0A"/>
    <w:rsid w:val="00FE4D7D"/>
    <w:rsid w:val="00FE5E40"/>
    <w:rsid w:val="00FE6796"/>
    <w:rsid w:val="00FE6AC1"/>
    <w:rsid w:val="00FF016E"/>
    <w:rsid w:val="00FF10DC"/>
    <w:rsid w:val="00FF2976"/>
    <w:rsid w:val="00FF3A0E"/>
    <w:rsid w:val="00FF3E3A"/>
    <w:rsid w:val="00FF5408"/>
    <w:rsid w:val="01535EBC"/>
    <w:rsid w:val="01A051A5"/>
    <w:rsid w:val="01AD6336"/>
    <w:rsid w:val="01ED2F4F"/>
    <w:rsid w:val="02B61011"/>
    <w:rsid w:val="038627B8"/>
    <w:rsid w:val="04115339"/>
    <w:rsid w:val="04740C47"/>
    <w:rsid w:val="059B58CF"/>
    <w:rsid w:val="05E85B05"/>
    <w:rsid w:val="060B7677"/>
    <w:rsid w:val="061A5313"/>
    <w:rsid w:val="0641548F"/>
    <w:rsid w:val="06492AAF"/>
    <w:rsid w:val="0671338F"/>
    <w:rsid w:val="067B3187"/>
    <w:rsid w:val="0698417D"/>
    <w:rsid w:val="06CD6568"/>
    <w:rsid w:val="070754CD"/>
    <w:rsid w:val="072E7F81"/>
    <w:rsid w:val="0734625B"/>
    <w:rsid w:val="07351825"/>
    <w:rsid w:val="07E6548A"/>
    <w:rsid w:val="0806057A"/>
    <w:rsid w:val="088E4584"/>
    <w:rsid w:val="08D02C41"/>
    <w:rsid w:val="08E73F86"/>
    <w:rsid w:val="094216B7"/>
    <w:rsid w:val="096D18D3"/>
    <w:rsid w:val="09C02BBF"/>
    <w:rsid w:val="0A337367"/>
    <w:rsid w:val="0ABD67A5"/>
    <w:rsid w:val="0AC74C67"/>
    <w:rsid w:val="0AEC4C33"/>
    <w:rsid w:val="0AF81F7D"/>
    <w:rsid w:val="0AF9651E"/>
    <w:rsid w:val="0BB86913"/>
    <w:rsid w:val="0BC24B89"/>
    <w:rsid w:val="0BF608EB"/>
    <w:rsid w:val="0D3614D2"/>
    <w:rsid w:val="0D4A190D"/>
    <w:rsid w:val="0D9A18D0"/>
    <w:rsid w:val="0DD0188F"/>
    <w:rsid w:val="0E181750"/>
    <w:rsid w:val="0EB94892"/>
    <w:rsid w:val="0F012471"/>
    <w:rsid w:val="0F09353F"/>
    <w:rsid w:val="0F380138"/>
    <w:rsid w:val="0F5F7948"/>
    <w:rsid w:val="10BE71C3"/>
    <w:rsid w:val="11337EFB"/>
    <w:rsid w:val="115713ED"/>
    <w:rsid w:val="11600A16"/>
    <w:rsid w:val="11B30D94"/>
    <w:rsid w:val="12F66907"/>
    <w:rsid w:val="130A6356"/>
    <w:rsid w:val="133736BB"/>
    <w:rsid w:val="1360576D"/>
    <w:rsid w:val="137463DF"/>
    <w:rsid w:val="1426405A"/>
    <w:rsid w:val="143C2427"/>
    <w:rsid w:val="14481B6D"/>
    <w:rsid w:val="14E52296"/>
    <w:rsid w:val="15537400"/>
    <w:rsid w:val="15562652"/>
    <w:rsid w:val="1583223F"/>
    <w:rsid w:val="15D64F91"/>
    <w:rsid w:val="15D92473"/>
    <w:rsid w:val="15F546BA"/>
    <w:rsid w:val="15FF414E"/>
    <w:rsid w:val="160E5BA4"/>
    <w:rsid w:val="16595AD6"/>
    <w:rsid w:val="165D02EF"/>
    <w:rsid w:val="168B794A"/>
    <w:rsid w:val="16D1158E"/>
    <w:rsid w:val="17183CCA"/>
    <w:rsid w:val="17360BC8"/>
    <w:rsid w:val="174428E9"/>
    <w:rsid w:val="17452200"/>
    <w:rsid w:val="176420E2"/>
    <w:rsid w:val="178B74E4"/>
    <w:rsid w:val="18127246"/>
    <w:rsid w:val="18376C5B"/>
    <w:rsid w:val="183C749A"/>
    <w:rsid w:val="185E77BE"/>
    <w:rsid w:val="189F6B50"/>
    <w:rsid w:val="18BB49A9"/>
    <w:rsid w:val="19AC6797"/>
    <w:rsid w:val="19FE3D52"/>
    <w:rsid w:val="1A680331"/>
    <w:rsid w:val="1A7C2890"/>
    <w:rsid w:val="1AA8733D"/>
    <w:rsid w:val="1B0051DB"/>
    <w:rsid w:val="1B324FB0"/>
    <w:rsid w:val="1B5653C7"/>
    <w:rsid w:val="1B975ED5"/>
    <w:rsid w:val="1BAF2B27"/>
    <w:rsid w:val="1C7976A4"/>
    <w:rsid w:val="1C8735BD"/>
    <w:rsid w:val="1D0B0A16"/>
    <w:rsid w:val="1D650CC3"/>
    <w:rsid w:val="1D9A6DF4"/>
    <w:rsid w:val="1DB1766D"/>
    <w:rsid w:val="1DF36F10"/>
    <w:rsid w:val="1E1A3914"/>
    <w:rsid w:val="1E280E26"/>
    <w:rsid w:val="1EC63D7C"/>
    <w:rsid w:val="1F4D61EB"/>
    <w:rsid w:val="207E6C00"/>
    <w:rsid w:val="20B2740F"/>
    <w:rsid w:val="20E97E61"/>
    <w:rsid w:val="21396CB8"/>
    <w:rsid w:val="21AA7CA6"/>
    <w:rsid w:val="21FF2B6B"/>
    <w:rsid w:val="228A73C5"/>
    <w:rsid w:val="22B15D07"/>
    <w:rsid w:val="22DF7DFC"/>
    <w:rsid w:val="23121934"/>
    <w:rsid w:val="238555C9"/>
    <w:rsid w:val="23A32375"/>
    <w:rsid w:val="245501C2"/>
    <w:rsid w:val="24E07E36"/>
    <w:rsid w:val="25027CEC"/>
    <w:rsid w:val="251A47DB"/>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76826"/>
    <w:rsid w:val="2A447D96"/>
    <w:rsid w:val="2AC2517E"/>
    <w:rsid w:val="2B0651FF"/>
    <w:rsid w:val="2BBE7D2C"/>
    <w:rsid w:val="2BE43674"/>
    <w:rsid w:val="2BEE5854"/>
    <w:rsid w:val="2C897AD5"/>
    <w:rsid w:val="2CC64B97"/>
    <w:rsid w:val="2D2C75CF"/>
    <w:rsid w:val="2D4C2D0F"/>
    <w:rsid w:val="2D8C25BE"/>
    <w:rsid w:val="2DD90901"/>
    <w:rsid w:val="2E5D0DE4"/>
    <w:rsid w:val="2EBA6468"/>
    <w:rsid w:val="2ED647A7"/>
    <w:rsid w:val="2ED6546B"/>
    <w:rsid w:val="2ED96FE6"/>
    <w:rsid w:val="2EFD6C01"/>
    <w:rsid w:val="2F4F3840"/>
    <w:rsid w:val="2F9D42C1"/>
    <w:rsid w:val="2FA874B2"/>
    <w:rsid w:val="2FEF61B9"/>
    <w:rsid w:val="307562FE"/>
    <w:rsid w:val="308835B0"/>
    <w:rsid w:val="30A17FDC"/>
    <w:rsid w:val="30C1111D"/>
    <w:rsid w:val="30F811AB"/>
    <w:rsid w:val="312253DC"/>
    <w:rsid w:val="313E40CB"/>
    <w:rsid w:val="3186794B"/>
    <w:rsid w:val="318F0C07"/>
    <w:rsid w:val="31AB17D6"/>
    <w:rsid w:val="31E871BF"/>
    <w:rsid w:val="31F01E96"/>
    <w:rsid w:val="320870E0"/>
    <w:rsid w:val="3210025C"/>
    <w:rsid w:val="32352F48"/>
    <w:rsid w:val="32747BA7"/>
    <w:rsid w:val="327E37D8"/>
    <w:rsid w:val="3297664C"/>
    <w:rsid w:val="32B86216"/>
    <w:rsid w:val="32D6021D"/>
    <w:rsid w:val="335E5AD0"/>
    <w:rsid w:val="33A93E13"/>
    <w:rsid w:val="33ED4BAD"/>
    <w:rsid w:val="345676E2"/>
    <w:rsid w:val="345C691A"/>
    <w:rsid w:val="345E214B"/>
    <w:rsid w:val="34B81CA2"/>
    <w:rsid w:val="34BD1D33"/>
    <w:rsid w:val="34CA61FF"/>
    <w:rsid w:val="35714720"/>
    <w:rsid w:val="35DC2BCB"/>
    <w:rsid w:val="35E60492"/>
    <w:rsid w:val="3621189E"/>
    <w:rsid w:val="36405BAA"/>
    <w:rsid w:val="36837E96"/>
    <w:rsid w:val="36C74C41"/>
    <w:rsid w:val="36E81D5E"/>
    <w:rsid w:val="379F2C44"/>
    <w:rsid w:val="385A2575"/>
    <w:rsid w:val="387C43FD"/>
    <w:rsid w:val="387D7DFF"/>
    <w:rsid w:val="38DB08A3"/>
    <w:rsid w:val="3971511E"/>
    <w:rsid w:val="397C2D3D"/>
    <w:rsid w:val="39AF4AF7"/>
    <w:rsid w:val="3A3E2B20"/>
    <w:rsid w:val="3A815CFC"/>
    <w:rsid w:val="3A8167D4"/>
    <w:rsid w:val="3ADC246A"/>
    <w:rsid w:val="3AE8609C"/>
    <w:rsid w:val="3B502CC1"/>
    <w:rsid w:val="3B516760"/>
    <w:rsid w:val="3B6E6EB4"/>
    <w:rsid w:val="3B6F005A"/>
    <w:rsid w:val="3B9B5000"/>
    <w:rsid w:val="3BB448C9"/>
    <w:rsid w:val="3C1D3384"/>
    <w:rsid w:val="3C8A3F43"/>
    <w:rsid w:val="3CDA2ACC"/>
    <w:rsid w:val="3CFE08DB"/>
    <w:rsid w:val="3D130709"/>
    <w:rsid w:val="3D690B94"/>
    <w:rsid w:val="3D7A7192"/>
    <w:rsid w:val="3DB40E70"/>
    <w:rsid w:val="3E3B24BF"/>
    <w:rsid w:val="3E6C3FAF"/>
    <w:rsid w:val="3E8E0FDF"/>
    <w:rsid w:val="3EA51E2C"/>
    <w:rsid w:val="3EAC040D"/>
    <w:rsid w:val="3EF34B07"/>
    <w:rsid w:val="3EFC24B8"/>
    <w:rsid w:val="3F72094D"/>
    <w:rsid w:val="3FC52740"/>
    <w:rsid w:val="401A03CE"/>
    <w:rsid w:val="406D1780"/>
    <w:rsid w:val="40B96DC6"/>
    <w:rsid w:val="411B4824"/>
    <w:rsid w:val="413D5C6F"/>
    <w:rsid w:val="415D7150"/>
    <w:rsid w:val="4181493C"/>
    <w:rsid w:val="41A22AC3"/>
    <w:rsid w:val="41DE0C28"/>
    <w:rsid w:val="42867163"/>
    <w:rsid w:val="42C579CC"/>
    <w:rsid w:val="432870EC"/>
    <w:rsid w:val="434314FE"/>
    <w:rsid w:val="435C52D6"/>
    <w:rsid w:val="43645516"/>
    <w:rsid w:val="44241DDE"/>
    <w:rsid w:val="44276889"/>
    <w:rsid w:val="44530233"/>
    <w:rsid w:val="44705BE6"/>
    <w:rsid w:val="447E74C7"/>
    <w:rsid w:val="44EB798A"/>
    <w:rsid w:val="45642F6A"/>
    <w:rsid w:val="459C36BB"/>
    <w:rsid w:val="464E293A"/>
    <w:rsid w:val="467D0950"/>
    <w:rsid w:val="469A4E5F"/>
    <w:rsid w:val="470569E4"/>
    <w:rsid w:val="4706752E"/>
    <w:rsid w:val="475E2800"/>
    <w:rsid w:val="47920406"/>
    <w:rsid w:val="47A706EE"/>
    <w:rsid w:val="47DA195B"/>
    <w:rsid w:val="488A01D5"/>
    <w:rsid w:val="48BC0178"/>
    <w:rsid w:val="490B58A7"/>
    <w:rsid w:val="493C077D"/>
    <w:rsid w:val="49587306"/>
    <w:rsid w:val="49A9444F"/>
    <w:rsid w:val="49EE28F9"/>
    <w:rsid w:val="4A20103D"/>
    <w:rsid w:val="4A9061CF"/>
    <w:rsid w:val="4A955F53"/>
    <w:rsid w:val="4B144D40"/>
    <w:rsid w:val="4B4107D0"/>
    <w:rsid w:val="4B805A5F"/>
    <w:rsid w:val="4BD950AA"/>
    <w:rsid w:val="4BFD2C74"/>
    <w:rsid w:val="4C0B4F4E"/>
    <w:rsid w:val="4C234937"/>
    <w:rsid w:val="4C272014"/>
    <w:rsid w:val="4C2B36E5"/>
    <w:rsid w:val="4C9E0B90"/>
    <w:rsid w:val="4D81453D"/>
    <w:rsid w:val="4DCB1184"/>
    <w:rsid w:val="4DDD5294"/>
    <w:rsid w:val="4E4F6B19"/>
    <w:rsid w:val="4E8F1021"/>
    <w:rsid w:val="4E960D48"/>
    <w:rsid w:val="4EDE4309"/>
    <w:rsid w:val="4EE707FB"/>
    <w:rsid w:val="4F3E18B2"/>
    <w:rsid w:val="4FB17A29"/>
    <w:rsid w:val="50BC6011"/>
    <w:rsid w:val="50CB4649"/>
    <w:rsid w:val="50F21CDF"/>
    <w:rsid w:val="51057F79"/>
    <w:rsid w:val="51475CC0"/>
    <w:rsid w:val="51694330"/>
    <w:rsid w:val="51AF698E"/>
    <w:rsid w:val="52E71FB4"/>
    <w:rsid w:val="53290D20"/>
    <w:rsid w:val="5381122E"/>
    <w:rsid w:val="53B54782"/>
    <w:rsid w:val="547B4879"/>
    <w:rsid w:val="54AA0A30"/>
    <w:rsid w:val="55536D0F"/>
    <w:rsid w:val="55EB77C0"/>
    <w:rsid w:val="562F0357"/>
    <w:rsid w:val="564F69B6"/>
    <w:rsid w:val="566E1BF3"/>
    <w:rsid w:val="569F775B"/>
    <w:rsid w:val="57303A7C"/>
    <w:rsid w:val="57481A8E"/>
    <w:rsid w:val="58337254"/>
    <w:rsid w:val="58E00C77"/>
    <w:rsid w:val="58E13425"/>
    <w:rsid w:val="59536481"/>
    <w:rsid w:val="59AD0C40"/>
    <w:rsid w:val="59AD1538"/>
    <w:rsid w:val="59C23FD3"/>
    <w:rsid w:val="5A0B5E95"/>
    <w:rsid w:val="5A246F57"/>
    <w:rsid w:val="5A377F44"/>
    <w:rsid w:val="5A742D4C"/>
    <w:rsid w:val="5ABE444B"/>
    <w:rsid w:val="5AC07CB3"/>
    <w:rsid w:val="5ACA6272"/>
    <w:rsid w:val="5AF00B1A"/>
    <w:rsid w:val="5AF95A23"/>
    <w:rsid w:val="5B4E0B38"/>
    <w:rsid w:val="5B5E75EC"/>
    <w:rsid w:val="5B9613B7"/>
    <w:rsid w:val="5BCB44AB"/>
    <w:rsid w:val="5BE96D14"/>
    <w:rsid w:val="5BF13CF3"/>
    <w:rsid w:val="5C0B776D"/>
    <w:rsid w:val="5C2B273D"/>
    <w:rsid w:val="5C8C55D5"/>
    <w:rsid w:val="5CBF18BC"/>
    <w:rsid w:val="5CF07939"/>
    <w:rsid w:val="5D2802F3"/>
    <w:rsid w:val="5D80343C"/>
    <w:rsid w:val="5DC504EC"/>
    <w:rsid w:val="5DE41E13"/>
    <w:rsid w:val="5E022EA9"/>
    <w:rsid w:val="5E164D40"/>
    <w:rsid w:val="5EA1196F"/>
    <w:rsid w:val="5EBA0F5F"/>
    <w:rsid w:val="5EEA4CD2"/>
    <w:rsid w:val="5F1F06B8"/>
    <w:rsid w:val="5F4F7A12"/>
    <w:rsid w:val="5F9C495E"/>
    <w:rsid w:val="5FEE613D"/>
    <w:rsid w:val="60A239C9"/>
    <w:rsid w:val="60FA6D79"/>
    <w:rsid w:val="613A17BA"/>
    <w:rsid w:val="617F1A46"/>
    <w:rsid w:val="61D21156"/>
    <w:rsid w:val="62184B39"/>
    <w:rsid w:val="626D1426"/>
    <w:rsid w:val="62AE13F1"/>
    <w:rsid w:val="62C74C67"/>
    <w:rsid w:val="637558D0"/>
    <w:rsid w:val="637B5306"/>
    <w:rsid w:val="63851CFD"/>
    <w:rsid w:val="63B12810"/>
    <w:rsid w:val="6530763D"/>
    <w:rsid w:val="6585670A"/>
    <w:rsid w:val="66257BD6"/>
    <w:rsid w:val="667C7C00"/>
    <w:rsid w:val="668E1C3C"/>
    <w:rsid w:val="66F44120"/>
    <w:rsid w:val="676C2CBF"/>
    <w:rsid w:val="68107504"/>
    <w:rsid w:val="68BF756D"/>
    <w:rsid w:val="68CE27BB"/>
    <w:rsid w:val="691F09A3"/>
    <w:rsid w:val="69323823"/>
    <w:rsid w:val="69500604"/>
    <w:rsid w:val="69524DAB"/>
    <w:rsid w:val="696D08E0"/>
    <w:rsid w:val="69C15A14"/>
    <w:rsid w:val="69CC2B0F"/>
    <w:rsid w:val="6A8848D8"/>
    <w:rsid w:val="6A9C6D27"/>
    <w:rsid w:val="6AC10B58"/>
    <w:rsid w:val="6B526234"/>
    <w:rsid w:val="6B8954B5"/>
    <w:rsid w:val="6B981255"/>
    <w:rsid w:val="6BDF5F4E"/>
    <w:rsid w:val="6C50014D"/>
    <w:rsid w:val="6C597288"/>
    <w:rsid w:val="6C612D7E"/>
    <w:rsid w:val="6C9D1BCF"/>
    <w:rsid w:val="6D3470DE"/>
    <w:rsid w:val="6D914092"/>
    <w:rsid w:val="6D9B3A9B"/>
    <w:rsid w:val="6E7C7DEA"/>
    <w:rsid w:val="6ECE2628"/>
    <w:rsid w:val="6EDC23DD"/>
    <w:rsid w:val="6F0F18E5"/>
    <w:rsid w:val="6F165DBC"/>
    <w:rsid w:val="6F364B5F"/>
    <w:rsid w:val="6F3E4050"/>
    <w:rsid w:val="6F5B5650"/>
    <w:rsid w:val="6F660F70"/>
    <w:rsid w:val="6FA37BFA"/>
    <w:rsid w:val="70AD0488"/>
    <w:rsid w:val="70F161A9"/>
    <w:rsid w:val="713E6EBD"/>
    <w:rsid w:val="714E09F3"/>
    <w:rsid w:val="717362D3"/>
    <w:rsid w:val="71FA1C5E"/>
    <w:rsid w:val="72054BED"/>
    <w:rsid w:val="720B608D"/>
    <w:rsid w:val="72323F70"/>
    <w:rsid w:val="72422A0F"/>
    <w:rsid w:val="739D07C0"/>
    <w:rsid w:val="73A96C48"/>
    <w:rsid w:val="743301F6"/>
    <w:rsid w:val="74527DA5"/>
    <w:rsid w:val="748847CC"/>
    <w:rsid w:val="74B843B3"/>
    <w:rsid w:val="74DA7702"/>
    <w:rsid w:val="75127471"/>
    <w:rsid w:val="751471B8"/>
    <w:rsid w:val="75FA352D"/>
    <w:rsid w:val="767D2049"/>
    <w:rsid w:val="768207A5"/>
    <w:rsid w:val="76A2179B"/>
    <w:rsid w:val="76BF2C08"/>
    <w:rsid w:val="76D51348"/>
    <w:rsid w:val="76D66050"/>
    <w:rsid w:val="76E23624"/>
    <w:rsid w:val="770352EE"/>
    <w:rsid w:val="77565832"/>
    <w:rsid w:val="776E4150"/>
    <w:rsid w:val="77890BDB"/>
    <w:rsid w:val="779450CA"/>
    <w:rsid w:val="77D3660D"/>
    <w:rsid w:val="785437D3"/>
    <w:rsid w:val="78565AAF"/>
    <w:rsid w:val="78BE7CBA"/>
    <w:rsid w:val="78DD3131"/>
    <w:rsid w:val="7923280B"/>
    <w:rsid w:val="79430348"/>
    <w:rsid w:val="79701A39"/>
    <w:rsid w:val="7A082988"/>
    <w:rsid w:val="7A1C10FB"/>
    <w:rsid w:val="7A424D7F"/>
    <w:rsid w:val="7A4D4FC3"/>
    <w:rsid w:val="7AA0651A"/>
    <w:rsid w:val="7AB87EDD"/>
    <w:rsid w:val="7AE64B83"/>
    <w:rsid w:val="7B002162"/>
    <w:rsid w:val="7B124FB7"/>
    <w:rsid w:val="7B361A8A"/>
    <w:rsid w:val="7BAE5A06"/>
    <w:rsid w:val="7BDF1C40"/>
    <w:rsid w:val="7CB818B8"/>
    <w:rsid w:val="7CD50713"/>
    <w:rsid w:val="7D8C5E76"/>
    <w:rsid w:val="7DA0352B"/>
    <w:rsid w:val="7DB019FA"/>
    <w:rsid w:val="7DCC7103"/>
    <w:rsid w:val="7DDB2B1D"/>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DCFFFC-DBBB-43B3-9FFA-8B3CDFFE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c">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d">
    <w:name w:val="Placeholder Text"/>
    <w:basedOn w:val="a0"/>
    <w:uiPriority w:val="99"/>
    <w:semiHidden/>
    <w:qFormat/>
    <w:rPr>
      <w:color w:val="808080"/>
    </w:rPr>
  </w:style>
  <w:style w:type="character" w:customStyle="1" w:styleId="1Char">
    <w:name w:val="标题 1 Char"/>
    <w:basedOn w:val="a0"/>
    <w:link w:val="1"/>
    <w:rsid w:val="00EE1302"/>
    <w:rPr>
      <w:rFonts w:ascii="Arial" w:eastAsia="Times New Roman" w:hAnsi="Arial" w:cs="Arial"/>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media/image13.png"/><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24C96-75D1-458A-884F-1B39FA58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2701</Words>
  <Characters>15402</Characters>
  <Application>Microsoft Office Word</Application>
  <DocSecurity>0</DocSecurity>
  <Lines>128</Lines>
  <Paragraphs>36</Paragraphs>
  <ScaleCrop>false</ScaleCrop>
  <Company/>
  <LinksUpToDate>false</LinksUpToDate>
  <CharactersWithSpaces>18067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353</cp:revision>
  <dcterms:created xsi:type="dcterms:W3CDTF">2020-08-05T10:28:00Z</dcterms:created>
  <dcterms:modified xsi:type="dcterms:W3CDTF">2021-04-06T11:12:00Z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